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156" w:beforeLines="50" w:line="380" w:lineRule="exact"/>
        <w:ind w:firstLine="0" w:firstLineChars="0"/>
        <w:jc w:val="center"/>
        <w:rPr>
          <w:rFonts w:ascii="黑体" w:hAnsi="黑体" w:eastAsia="黑体"/>
          <w:snapToGrid w:val="0"/>
          <w:sz w:val="36"/>
          <w:szCs w:val="36"/>
        </w:rPr>
      </w:pPr>
      <w:bookmarkStart w:id="0" w:name="_Toc532459037"/>
    </w:p>
    <w:p>
      <w:pPr>
        <w:pStyle w:val="8"/>
        <w:spacing w:before="156" w:beforeLines="50" w:line="380" w:lineRule="exact"/>
        <w:ind w:firstLine="0" w:firstLineChars="0"/>
        <w:jc w:val="center"/>
        <w:rPr>
          <w:rFonts w:ascii="黑体" w:hAnsi="黑体" w:eastAsia="黑体"/>
          <w:snapToGrid w:val="0"/>
          <w:sz w:val="36"/>
          <w:szCs w:val="36"/>
        </w:rPr>
      </w:pPr>
    </w:p>
    <w:p>
      <w:pPr>
        <w:pStyle w:val="8"/>
        <w:spacing w:before="156" w:beforeLines="50" w:line="380" w:lineRule="exact"/>
        <w:ind w:firstLine="0" w:firstLineChars="0"/>
        <w:jc w:val="center"/>
        <w:rPr>
          <w:rFonts w:ascii="黑体" w:hAnsi="黑体" w:eastAsia="黑体"/>
          <w:snapToGrid w:val="0"/>
          <w:sz w:val="36"/>
          <w:szCs w:val="36"/>
        </w:rPr>
      </w:pPr>
    </w:p>
    <w:p>
      <w:pPr>
        <w:pStyle w:val="8"/>
        <w:spacing w:before="156" w:beforeLines="50" w:line="380" w:lineRule="exact"/>
        <w:ind w:firstLine="0" w:firstLineChars="0"/>
        <w:jc w:val="center"/>
        <w:rPr>
          <w:rFonts w:ascii="黑体" w:hAnsi="黑体" w:eastAsia="黑体"/>
          <w:snapToGrid w:val="0"/>
          <w:sz w:val="36"/>
          <w:szCs w:val="36"/>
        </w:rPr>
      </w:pPr>
    </w:p>
    <w:p>
      <w:pPr>
        <w:pStyle w:val="8"/>
        <w:spacing w:before="156" w:beforeLines="50" w:line="380" w:lineRule="exact"/>
        <w:ind w:firstLine="0" w:firstLineChars="0"/>
        <w:jc w:val="center"/>
        <w:rPr>
          <w:rFonts w:ascii="黑体" w:hAnsi="黑体" w:eastAsia="黑体"/>
          <w:snapToGrid w:val="0"/>
          <w:sz w:val="36"/>
          <w:szCs w:val="36"/>
        </w:rPr>
      </w:pPr>
    </w:p>
    <w:p>
      <w:pPr>
        <w:pStyle w:val="8"/>
        <w:spacing w:before="156" w:beforeLines="50" w:line="380" w:lineRule="exact"/>
        <w:ind w:firstLine="0" w:firstLineChars="0"/>
        <w:jc w:val="center"/>
        <w:rPr>
          <w:rFonts w:hAnsi="宋体"/>
          <w:b/>
          <w:color w:val="000000"/>
          <w:sz w:val="52"/>
          <w:szCs w:val="52"/>
        </w:rPr>
      </w:pPr>
      <w:r>
        <w:rPr>
          <w:rFonts w:hint="eastAsia" w:hAnsi="宋体"/>
          <w:b/>
          <w:color w:val="000000"/>
          <w:sz w:val="52"/>
          <w:szCs w:val="52"/>
        </w:rPr>
        <w:t>材料科学与工程专业</w:t>
      </w:r>
    </w:p>
    <w:p>
      <w:pPr>
        <w:pStyle w:val="8"/>
        <w:spacing w:before="156" w:beforeLines="50" w:line="380" w:lineRule="exact"/>
        <w:ind w:firstLine="0" w:firstLineChars="0"/>
        <w:jc w:val="center"/>
        <w:rPr>
          <w:rFonts w:hAnsi="宋体"/>
          <w:b/>
          <w:color w:val="000000"/>
          <w:sz w:val="52"/>
          <w:szCs w:val="52"/>
          <w:u w:val="single"/>
        </w:rPr>
      </w:pPr>
    </w:p>
    <w:p>
      <w:pPr>
        <w:pStyle w:val="8"/>
        <w:spacing w:before="156" w:beforeLines="50" w:line="380" w:lineRule="exact"/>
        <w:ind w:firstLine="0" w:firstLineChars="0"/>
        <w:jc w:val="center"/>
        <w:rPr>
          <w:rFonts w:hAnsi="宋体"/>
          <w:b/>
          <w:color w:val="000000"/>
          <w:sz w:val="52"/>
          <w:szCs w:val="52"/>
        </w:rPr>
      </w:pPr>
      <w:r>
        <w:rPr>
          <w:rFonts w:hint="eastAsia" w:hAnsi="宋体"/>
          <w:b/>
          <w:color w:val="000000"/>
          <w:sz w:val="52"/>
          <w:szCs w:val="52"/>
        </w:rPr>
        <w:t>自查报告</w:t>
      </w:r>
    </w:p>
    <w:p>
      <w:pPr>
        <w:pStyle w:val="8"/>
        <w:spacing w:before="156" w:beforeLines="50" w:line="380" w:lineRule="exact"/>
        <w:ind w:firstLine="0" w:firstLineChars="0"/>
        <w:jc w:val="center"/>
        <w:rPr>
          <w:rFonts w:ascii="黑体" w:hAnsi="Times New Roman" w:eastAsia="黑体"/>
          <w:color w:val="000000"/>
          <w:sz w:val="44"/>
          <w:szCs w:val="4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Times New Roman"/>
          <w:color w:val="000000"/>
          <w:sz w:val="24"/>
          <w:szCs w:val="24"/>
        </w:rPr>
      </w:pPr>
    </w:p>
    <w:p>
      <w:pPr>
        <w:pStyle w:val="8"/>
        <w:spacing w:before="156" w:beforeLines="50" w:line="380" w:lineRule="exact"/>
        <w:ind w:firstLine="0" w:firstLineChars="0"/>
        <w:rPr>
          <w:rFonts w:hAnsi="宋体"/>
          <w:b/>
          <w:color w:val="000000"/>
          <w:sz w:val="30"/>
          <w:szCs w:val="30"/>
        </w:rPr>
      </w:pPr>
    </w:p>
    <w:p>
      <w:pPr>
        <w:pStyle w:val="8"/>
        <w:spacing w:before="156" w:beforeLines="50" w:line="380" w:lineRule="exact"/>
        <w:ind w:firstLine="0" w:firstLineChars="0"/>
        <w:jc w:val="center"/>
        <w:rPr>
          <w:rFonts w:hAnsi="宋体"/>
          <w:b/>
          <w:color w:val="000000"/>
          <w:sz w:val="30"/>
          <w:szCs w:val="30"/>
        </w:rPr>
      </w:pPr>
      <w:r>
        <w:rPr>
          <w:rFonts w:hint="eastAsia" w:hAnsi="宋体"/>
          <w:b/>
          <w:color w:val="000000"/>
          <w:sz w:val="30"/>
          <w:szCs w:val="30"/>
        </w:rPr>
        <w:t>二零一九年十二月</w:t>
      </w:r>
    </w:p>
    <w:p>
      <w:pPr>
        <w:widowControl/>
        <w:jc w:val="left"/>
        <w:rPr>
          <w:rFonts w:ascii="宋体" w:cs="Courier New"/>
          <w:color w:val="000000"/>
          <w:sz w:val="24"/>
        </w:rPr>
      </w:pPr>
      <w:r>
        <w:rPr>
          <w:rFonts w:ascii="宋体" w:cs="Courier New"/>
          <w:color w:val="000000"/>
          <w:sz w:val="24"/>
        </w:rPr>
        <w:br w:type="page"/>
      </w:r>
    </w:p>
    <w:sdt>
      <w:sdtPr>
        <w:rPr>
          <w:rFonts w:ascii="Times New Roman" w:hAnsi="Times New Roman" w:eastAsia="宋体" w:cs="Times New Roman"/>
          <w:b w:val="0"/>
          <w:bCs w:val="0"/>
          <w:color w:val="000000" w:themeColor="text1"/>
          <w:kern w:val="2"/>
          <w:sz w:val="30"/>
          <w:szCs w:val="30"/>
          <w:lang w:val="zh-CN"/>
          <w14:textFill>
            <w14:solidFill>
              <w14:schemeClr w14:val="tx1"/>
            </w14:solidFill>
          </w14:textFill>
        </w:rPr>
        <w:id w:val="890304552"/>
        <w:docPartObj>
          <w:docPartGallery w:val="Table of Contents"/>
          <w:docPartUnique/>
        </w:docPartObj>
      </w:sdtPr>
      <w:sdtEndPr>
        <w:rPr>
          <w:rFonts w:ascii="Times New Roman" w:hAnsi="Times New Roman" w:eastAsia="宋体" w:cs="Times New Roman"/>
          <w:b w:val="0"/>
          <w:bCs w:val="0"/>
          <w:color w:val="auto"/>
          <w:kern w:val="2"/>
          <w:sz w:val="24"/>
          <w:szCs w:val="24"/>
          <w:lang w:val="zh-CN"/>
        </w:rPr>
      </w:sdtEndPr>
      <w:sdtContent>
        <w:p>
          <w:pPr>
            <w:pStyle w:val="91"/>
            <w:spacing w:before="360" w:after="156" w:afterLines="50"/>
            <w:jc w:val="center"/>
            <w:rPr>
              <w:color w:val="000000" w:themeColor="text1"/>
              <w:sz w:val="30"/>
              <w:szCs w:val="30"/>
              <w14:textFill>
                <w14:solidFill>
                  <w14:schemeClr w14:val="tx1"/>
                </w14:solidFill>
              </w14:textFill>
            </w:rPr>
          </w:pPr>
          <w:r>
            <w:rPr>
              <w:color w:val="000000" w:themeColor="text1"/>
              <w:sz w:val="30"/>
              <w:szCs w:val="30"/>
              <w:lang w:val="zh-CN"/>
              <w14:textFill>
                <w14:solidFill>
                  <w14:schemeClr w14:val="tx1"/>
                </w14:solidFill>
              </w14:textFill>
            </w:rPr>
            <w:t>目</w:t>
          </w:r>
          <w:r>
            <w:rPr>
              <w:rFonts w:hint="eastAsia"/>
              <w:color w:val="000000" w:themeColor="text1"/>
              <w:sz w:val="30"/>
              <w:szCs w:val="30"/>
              <w:lang w:val="zh-CN"/>
              <w14:textFill>
                <w14:solidFill>
                  <w14:schemeClr w14:val="tx1"/>
                </w14:solidFill>
              </w14:textFill>
            </w:rPr>
            <w:t xml:space="preserve">   </w:t>
          </w:r>
          <w:r>
            <w:rPr>
              <w:color w:val="000000" w:themeColor="text1"/>
              <w:sz w:val="30"/>
              <w:szCs w:val="30"/>
              <w:lang w:val="zh-CN"/>
              <w14:textFill>
                <w14:solidFill>
                  <w14:schemeClr w14:val="tx1"/>
                </w14:solidFill>
              </w14:textFill>
            </w:rPr>
            <w:t>录</w:t>
          </w:r>
          <w:r>
            <w:rPr>
              <w:sz w:val="24"/>
              <w:szCs w:val="24"/>
            </w:rPr>
            <w:fldChar w:fldCharType="begin"/>
          </w:r>
          <w:r>
            <w:rPr>
              <w:sz w:val="24"/>
              <w:szCs w:val="24"/>
            </w:rPr>
            <w:instrText xml:space="preserve"> TOC \o "1-3" \h \z \u </w:instrText>
          </w:r>
          <w:r>
            <w:rPr>
              <w:sz w:val="24"/>
              <w:szCs w:val="24"/>
            </w:rPr>
            <w:fldChar w:fldCharType="separate"/>
          </w:r>
        </w:p>
        <w:p>
          <w:pPr>
            <w:pStyle w:val="21"/>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"_Toc533757361" </w:instrText>
          </w:r>
          <w:r>
            <w:fldChar w:fldCharType="separate"/>
          </w:r>
          <w:r>
            <w:rPr>
              <w:rStyle w:val="33"/>
              <w:rFonts w:hint="eastAsia"/>
              <w:snapToGrid w:val="0"/>
              <w:sz w:val="24"/>
            </w:rPr>
            <w:t>一、专业建设基本情况</w:t>
          </w:r>
          <w:r>
            <w:rPr>
              <w:sz w:val="24"/>
            </w:rPr>
            <w:tab/>
          </w:r>
          <w:r>
            <w:rPr>
              <w:sz w:val="24"/>
            </w:rPr>
            <w:fldChar w:fldCharType="begin"/>
          </w:r>
          <w:r>
            <w:rPr>
              <w:sz w:val="24"/>
            </w:rPr>
            <w:instrText xml:space="preserve"> PAGEREF _Toc533757361 \h </w:instrText>
          </w:r>
          <w:r>
            <w:rPr>
              <w:sz w:val="24"/>
            </w:rPr>
            <w:fldChar w:fldCharType="separate"/>
          </w:r>
          <w:r>
            <w:rPr>
              <w:sz w:val="24"/>
            </w:rPr>
            <w:t>3</w:t>
          </w:r>
          <w:r>
            <w:rPr>
              <w:sz w:val="24"/>
            </w:rPr>
            <w:fldChar w:fldCharType="end"/>
          </w:r>
          <w:r>
            <w:rPr>
              <w:sz w:val="24"/>
            </w:rPr>
            <w:fldChar w:fldCharType="end"/>
          </w:r>
        </w:p>
        <w:p>
          <w:pPr>
            <w:pStyle w:val="21"/>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"_Toc533757362" </w:instrText>
          </w:r>
          <w:r>
            <w:fldChar w:fldCharType="separate"/>
          </w:r>
          <w:r>
            <w:rPr>
              <w:rStyle w:val="33"/>
              <w:rFonts w:hint="eastAsia"/>
              <w:snapToGrid w:val="0"/>
              <w:sz w:val="24"/>
            </w:rPr>
            <w:t>二、专业定位与培养方案</w:t>
          </w:r>
          <w:r>
            <w:rPr>
              <w:sz w:val="24"/>
            </w:rPr>
            <w:tab/>
          </w:r>
          <w:r>
            <w:rPr>
              <w:sz w:val="24"/>
            </w:rPr>
            <w:fldChar w:fldCharType="begin"/>
          </w:r>
          <w:r>
            <w:rPr>
              <w:sz w:val="24"/>
            </w:rPr>
            <w:instrText xml:space="preserve"> PAGEREF _Toc533757362 \h </w:instrText>
          </w:r>
          <w:r>
            <w:rPr>
              <w:sz w:val="24"/>
            </w:rPr>
            <w:fldChar w:fldCharType="separate"/>
          </w:r>
          <w:r>
            <w:rPr>
              <w:sz w:val="24"/>
            </w:rPr>
            <w:t>4</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"_Toc533757363" </w:instrText>
          </w:r>
          <w:r>
            <w:fldChar w:fldCharType="separate"/>
          </w:r>
          <w:r>
            <w:rPr>
              <w:rStyle w:val="33"/>
              <w:rFonts w:ascii="黑体" w:hAnsi="黑体"/>
              <w:snapToGrid w:val="0"/>
              <w:sz w:val="24"/>
            </w:rPr>
            <w:t xml:space="preserve">2.1 </w:t>
          </w:r>
          <w:r>
            <w:rPr>
              <w:rStyle w:val="33"/>
              <w:rFonts w:hint="eastAsia" w:ascii="黑体" w:hAnsi="黑体"/>
              <w:snapToGrid w:val="0"/>
              <w:sz w:val="24"/>
            </w:rPr>
            <w:t>专业发展定位</w:t>
          </w:r>
          <w:r>
            <w:rPr>
              <w:sz w:val="24"/>
            </w:rPr>
            <w:tab/>
          </w:r>
          <w:r>
            <w:rPr>
              <w:sz w:val="24"/>
            </w:rPr>
            <w:fldChar w:fldCharType="begin"/>
          </w:r>
          <w:r>
            <w:rPr>
              <w:sz w:val="24"/>
            </w:rPr>
            <w:instrText xml:space="preserve"> PAGEREF _Toc533757363 \h </w:instrText>
          </w:r>
          <w:r>
            <w:rPr>
              <w:sz w:val="24"/>
            </w:rPr>
            <w:fldChar w:fldCharType="separate"/>
          </w:r>
          <w:r>
            <w:rPr>
              <w:sz w:val="24"/>
            </w:rPr>
            <w:t>5</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"_Toc533757364" </w:instrText>
          </w:r>
          <w:r>
            <w:fldChar w:fldCharType="separate"/>
          </w:r>
          <w:r>
            <w:rPr>
              <w:rStyle w:val="33"/>
              <w:rFonts w:ascii="黑体" w:hAnsi="黑体"/>
              <w:snapToGrid w:val="0"/>
              <w:sz w:val="24"/>
            </w:rPr>
            <w:t>2.2</w:t>
          </w:r>
          <w:r>
            <w:rPr>
              <w:rStyle w:val="33"/>
              <w:rFonts w:hint="eastAsia" w:ascii="黑体" w:hAnsi="黑体"/>
              <w:snapToGrid w:val="0"/>
              <w:sz w:val="24"/>
            </w:rPr>
            <w:t>专业人才培养方案</w:t>
          </w:r>
          <w:r>
            <w:rPr>
              <w:sz w:val="24"/>
            </w:rPr>
            <w:tab/>
          </w:r>
          <w:r>
            <w:rPr>
              <w:sz w:val="24"/>
            </w:rPr>
            <w:fldChar w:fldCharType="begin"/>
          </w:r>
          <w:r>
            <w:rPr>
              <w:sz w:val="24"/>
            </w:rPr>
            <w:instrText xml:space="preserve"> PAGEREF _Toc533757364 \h </w:instrText>
          </w:r>
          <w:r>
            <w:rPr>
              <w:sz w:val="24"/>
            </w:rPr>
            <w:fldChar w:fldCharType="separate"/>
          </w:r>
          <w:r>
            <w:rPr>
              <w:sz w:val="24"/>
            </w:rPr>
            <w:t>6</w:t>
          </w:r>
          <w:r>
            <w:rPr>
              <w:sz w:val="24"/>
            </w:rPr>
            <w:fldChar w:fldCharType="end"/>
          </w:r>
          <w:r>
            <w:rPr>
              <w:sz w:val="24"/>
            </w:rPr>
            <w:fldChar w:fldCharType="end"/>
          </w:r>
        </w:p>
        <w:p>
          <w:pPr>
            <w:pStyle w:val="21"/>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"_Toc533757365" </w:instrText>
          </w:r>
          <w:r>
            <w:fldChar w:fldCharType="separate"/>
          </w:r>
          <w:r>
            <w:rPr>
              <w:rStyle w:val="33"/>
              <w:rFonts w:hint="eastAsia"/>
              <w:snapToGrid w:val="0"/>
              <w:sz w:val="24"/>
            </w:rPr>
            <w:t>三、专业师资队伍</w:t>
          </w:r>
          <w:r>
            <w:rPr>
              <w:sz w:val="24"/>
            </w:rPr>
            <w:tab/>
          </w:r>
          <w:r>
            <w:rPr>
              <w:sz w:val="24"/>
            </w:rPr>
            <w:fldChar w:fldCharType="begin"/>
          </w:r>
          <w:r>
            <w:rPr>
              <w:sz w:val="24"/>
            </w:rPr>
            <w:instrText xml:space="preserve"> PAGEREF _Toc533757365 \h </w:instrText>
          </w:r>
          <w:r>
            <w:rPr>
              <w:sz w:val="24"/>
            </w:rPr>
            <w:fldChar w:fldCharType="separate"/>
          </w:r>
          <w:r>
            <w:rPr>
              <w:sz w:val="24"/>
            </w:rPr>
            <w:t>6</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"_Toc533757366" </w:instrText>
          </w:r>
          <w:r>
            <w:fldChar w:fldCharType="separate"/>
          </w:r>
          <w:r>
            <w:rPr>
              <w:rStyle w:val="33"/>
              <w:rFonts w:ascii="黑体" w:hAnsi="黑体"/>
              <w:snapToGrid w:val="0"/>
              <w:sz w:val="24"/>
            </w:rPr>
            <w:t>3.1</w:t>
          </w:r>
          <w:r>
            <w:rPr>
              <w:rStyle w:val="33"/>
              <w:rFonts w:hint="eastAsia" w:ascii="黑体" w:hAnsi="黑体"/>
              <w:snapToGrid w:val="0"/>
              <w:sz w:val="24"/>
            </w:rPr>
            <w:t>教师队伍基本情况</w:t>
          </w:r>
          <w:r>
            <w:rPr>
              <w:sz w:val="24"/>
            </w:rPr>
            <w:tab/>
          </w:r>
          <w:r>
            <w:rPr>
              <w:sz w:val="24"/>
            </w:rPr>
            <w:fldChar w:fldCharType="begin"/>
          </w:r>
          <w:r>
            <w:rPr>
              <w:sz w:val="24"/>
            </w:rPr>
            <w:instrText xml:space="preserve"> PAGEREF _Toc533757366 \h </w:instrText>
          </w:r>
          <w:r>
            <w:rPr>
              <w:sz w:val="24"/>
            </w:rPr>
            <w:fldChar w:fldCharType="separate"/>
          </w:r>
          <w:r>
            <w:rPr>
              <w:sz w:val="24"/>
            </w:rPr>
            <w:t>6</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"_Toc533757367" </w:instrText>
          </w:r>
          <w:r>
            <w:fldChar w:fldCharType="separate"/>
          </w:r>
          <w:r>
            <w:rPr>
              <w:rStyle w:val="33"/>
              <w:rFonts w:ascii="黑体" w:hAnsi="黑体"/>
              <w:snapToGrid w:val="0"/>
              <w:sz w:val="24"/>
            </w:rPr>
            <w:t xml:space="preserve">3.2 </w:t>
          </w:r>
          <w:r>
            <w:rPr>
              <w:rStyle w:val="33"/>
              <w:rFonts w:hint="eastAsia" w:ascii="黑体" w:hAnsi="黑体"/>
              <w:snapToGrid w:val="0"/>
              <w:sz w:val="24"/>
            </w:rPr>
            <w:t>教师参与教学研究的情况</w:t>
          </w:r>
          <w:r>
            <w:rPr>
              <w:sz w:val="24"/>
            </w:rPr>
            <w:tab/>
          </w:r>
          <w:r>
            <w:rPr>
              <w:sz w:val="24"/>
            </w:rPr>
            <w:fldChar w:fldCharType="begin"/>
          </w:r>
          <w:r>
            <w:rPr>
              <w:sz w:val="24"/>
            </w:rPr>
            <w:instrText xml:space="preserve"> PAGEREF _Toc533757367 \h </w:instrText>
          </w:r>
          <w:r>
            <w:rPr>
              <w:sz w:val="24"/>
            </w:rPr>
            <w:fldChar w:fldCharType="separate"/>
          </w:r>
          <w:r>
            <w:rPr>
              <w:sz w:val="24"/>
            </w:rPr>
            <w:t>7</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"_Toc533757368" </w:instrText>
          </w:r>
          <w:r>
            <w:fldChar w:fldCharType="separate"/>
          </w:r>
          <w:r>
            <w:rPr>
              <w:rStyle w:val="33"/>
              <w:rFonts w:ascii="黑体" w:hAnsi="黑体"/>
              <w:snapToGrid w:val="0"/>
              <w:sz w:val="24"/>
            </w:rPr>
            <w:t xml:space="preserve">3.3 </w:t>
          </w:r>
          <w:r>
            <w:rPr>
              <w:rStyle w:val="33"/>
              <w:rFonts w:hint="eastAsia" w:ascii="黑体" w:hAnsi="黑体"/>
              <w:snapToGrid w:val="0"/>
              <w:sz w:val="24"/>
            </w:rPr>
            <w:t>专任教师科研状况</w:t>
          </w:r>
          <w:r>
            <w:rPr>
              <w:sz w:val="24"/>
            </w:rPr>
            <w:tab/>
          </w:r>
          <w:r>
            <w:rPr>
              <w:sz w:val="24"/>
            </w:rPr>
            <w:fldChar w:fldCharType="begin"/>
          </w:r>
          <w:r>
            <w:rPr>
              <w:sz w:val="24"/>
            </w:rPr>
            <w:instrText xml:space="preserve"> PAGEREF _Toc533757368 \h </w:instrText>
          </w:r>
          <w:r>
            <w:rPr>
              <w:sz w:val="24"/>
            </w:rPr>
            <w:fldChar w:fldCharType="separate"/>
          </w:r>
          <w:r>
            <w:rPr>
              <w:sz w:val="24"/>
            </w:rPr>
            <w:t>8</w:t>
          </w:r>
          <w:r>
            <w:rPr>
              <w:sz w:val="24"/>
            </w:rPr>
            <w:fldChar w:fldCharType="end"/>
          </w:r>
          <w:r>
            <w:rPr>
              <w:sz w:val="24"/>
            </w:rPr>
            <w:fldChar w:fldCharType="end"/>
          </w:r>
        </w:p>
        <w:p>
          <w:pPr>
            <w:pStyle w:val="21"/>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"_Toc533757369" </w:instrText>
          </w:r>
          <w:r>
            <w:fldChar w:fldCharType="separate"/>
          </w:r>
          <w:r>
            <w:rPr>
              <w:rStyle w:val="33"/>
              <w:rFonts w:hint="eastAsia"/>
              <w:snapToGrid w:val="0"/>
              <w:sz w:val="24"/>
            </w:rPr>
            <w:t>四、教学基本条件</w:t>
          </w:r>
          <w:r>
            <w:rPr>
              <w:sz w:val="24"/>
            </w:rPr>
            <w:tab/>
          </w:r>
          <w:r>
            <w:rPr>
              <w:sz w:val="24"/>
            </w:rPr>
            <w:fldChar w:fldCharType="begin"/>
          </w:r>
          <w:r>
            <w:rPr>
              <w:sz w:val="24"/>
            </w:rPr>
            <w:instrText xml:space="preserve"> PAGEREF _Toc533757369 \h </w:instrText>
          </w:r>
          <w:r>
            <w:rPr>
              <w:sz w:val="24"/>
            </w:rPr>
            <w:fldChar w:fldCharType="separate"/>
          </w:r>
          <w:r>
            <w:rPr>
              <w:sz w:val="24"/>
            </w:rPr>
            <w:t>8</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"_Toc533757370" </w:instrText>
          </w:r>
          <w:r>
            <w:fldChar w:fldCharType="separate"/>
          </w:r>
          <w:r>
            <w:rPr>
              <w:rStyle w:val="33"/>
              <w:rFonts w:ascii="黑体" w:hAnsi="黑体"/>
              <w:snapToGrid w:val="0"/>
              <w:sz w:val="24"/>
            </w:rPr>
            <w:t>4.1</w:t>
          </w:r>
          <w:r>
            <w:rPr>
              <w:rStyle w:val="33"/>
              <w:rFonts w:hint="eastAsia" w:ascii="黑体" w:hAnsi="黑体"/>
              <w:snapToGrid w:val="0"/>
              <w:sz w:val="24"/>
            </w:rPr>
            <w:t>实验教学条件</w:t>
          </w:r>
          <w:r>
            <w:rPr>
              <w:sz w:val="24"/>
            </w:rPr>
            <w:tab/>
          </w:r>
          <w:r>
            <w:rPr>
              <w:sz w:val="24"/>
            </w:rPr>
            <w:fldChar w:fldCharType="begin"/>
          </w:r>
          <w:r>
            <w:rPr>
              <w:sz w:val="24"/>
            </w:rPr>
            <w:instrText xml:space="preserve"> PAGEREF _Toc533757370 \h </w:instrText>
          </w:r>
          <w:r>
            <w:rPr>
              <w:sz w:val="24"/>
            </w:rPr>
            <w:fldChar w:fldCharType="separate"/>
          </w:r>
          <w:r>
            <w:rPr>
              <w:sz w:val="24"/>
            </w:rPr>
            <w:t>8</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"_Toc533757371" </w:instrText>
          </w:r>
          <w:r>
            <w:fldChar w:fldCharType="separate"/>
          </w:r>
          <w:r>
            <w:rPr>
              <w:rStyle w:val="33"/>
              <w:rFonts w:ascii="黑体" w:hAnsi="黑体"/>
              <w:snapToGrid w:val="0"/>
              <w:sz w:val="24"/>
            </w:rPr>
            <w:t>4.2</w:t>
          </w:r>
          <w:r>
            <w:rPr>
              <w:rStyle w:val="33"/>
              <w:rFonts w:hint="eastAsia" w:ascii="黑体" w:hAnsi="黑体"/>
              <w:snapToGrid w:val="0"/>
              <w:sz w:val="24"/>
            </w:rPr>
            <w:t>图书资源</w:t>
          </w:r>
          <w:r>
            <w:rPr>
              <w:sz w:val="24"/>
            </w:rPr>
            <w:tab/>
          </w:r>
          <w:r>
            <w:rPr>
              <w:sz w:val="24"/>
            </w:rPr>
            <w:fldChar w:fldCharType="begin"/>
          </w:r>
          <w:r>
            <w:rPr>
              <w:sz w:val="24"/>
            </w:rPr>
            <w:instrText xml:space="preserve"> PAGEREF _Toc533757371 \h </w:instrText>
          </w:r>
          <w:r>
            <w:rPr>
              <w:sz w:val="24"/>
            </w:rPr>
            <w:fldChar w:fldCharType="separate"/>
          </w:r>
          <w:r>
            <w:rPr>
              <w:sz w:val="24"/>
            </w:rPr>
            <w:t>9</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"_Toc533757372" </w:instrText>
          </w:r>
          <w:r>
            <w:fldChar w:fldCharType="separate"/>
          </w:r>
          <w:r>
            <w:rPr>
              <w:rStyle w:val="33"/>
              <w:rFonts w:ascii="黑体" w:hAnsi="黑体"/>
              <w:snapToGrid w:val="0"/>
              <w:sz w:val="24"/>
            </w:rPr>
            <w:t>4.3</w:t>
          </w:r>
          <w:r>
            <w:rPr>
              <w:rStyle w:val="33"/>
              <w:rFonts w:hint="eastAsia" w:ascii="黑体" w:hAnsi="黑体"/>
              <w:snapToGrid w:val="0"/>
              <w:sz w:val="24"/>
            </w:rPr>
            <w:t>校外实习实践基地</w:t>
          </w:r>
          <w:r>
            <w:rPr>
              <w:sz w:val="24"/>
            </w:rPr>
            <w:tab/>
          </w:r>
          <w:r>
            <w:rPr>
              <w:sz w:val="24"/>
            </w:rPr>
            <w:fldChar w:fldCharType="begin"/>
          </w:r>
          <w:r>
            <w:rPr>
              <w:sz w:val="24"/>
            </w:rPr>
            <w:instrText xml:space="preserve"> PAGEREF _Toc533757372 \h </w:instrText>
          </w:r>
          <w:r>
            <w:rPr>
              <w:sz w:val="24"/>
            </w:rPr>
            <w:fldChar w:fldCharType="separate"/>
          </w:r>
          <w:r>
            <w:rPr>
              <w:sz w:val="24"/>
            </w:rPr>
            <w:t>10</w:t>
          </w:r>
          <w:r>
            <w:rPr>
              <w:sz w:val="24"/>
            </w:rPr>
            <w:fldChar w:fldCharType="end"/>
          </w:r>
          <w:r>
            <w:rPr>
              <w:sz w:val="24"/>
            </w:rPr>
            <w:fldChar w:fldCharType="end"/>
          </w:r>
        </w:p>
        <w:p>
          <w:pPr>
            <w:pStyle w:val="21"/>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"_Toc533757373" </w:instrText>
          </w:r>
          <w:r>
            <w:fldChar w:fldCharType="separate"/>
          </w:r>
          <w:r>
            <w:rPr>
              <w:rStyle w:val="33"/>
              <w:rFonts w:hint="eastAsia"/>
              <w:snapToGrid w:val="0"/>
              <w:sz w:val="24"/>
            </w:rPr>
            <w:t>五、教学质量保障</w:t>
          </w:r>
          <w:r>
            <w:rPr>
              <w:sz w:val="24"/>
            </w:rPr>
            <w:tab/>
          </w:r>
          <w:r>
            <w:rPr>
              <w:sz w:val="24"/>
            </w:rPr>
            <w:fldChar w:fldCharType="begin"/>
          </w:r>
          <w:r>
            <w:rPr>
              <w:sz w:val="24"/>
            </w:rPr>
            <w:instrText xml:space="preserve"> PAGEREF _Toc533757373 \h </w:instrText>
          </w:r>
          <w:r>
            <w:rPr>
              <w:sz w:val="24"/>
            </w:rPr>
            <w:fldChar w:fldCharType="separate"/>
          </w:r>
          <w:r>
            <w:rPr>
              <w:sz w:val="24"/>
            </w:rPr>
            <w:t>10</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"_Toc533757374" </w:instrText>
          </w:r>
          <w:r>
            <w:fldChar w:fldCharType="separate"/>
          </w:r>
          <w:r>
            <w:rPr>
              <w:rStyle w:val="33"/>
              <w:rFonts w:ascii="黑体" w:hAnsi="黑体"/>
              <w:snapToGrid w:val="0"/>
              <w:sz w:val="24"/>
            </w:rPr>
            <w:t xml:space="preserve">5.1 </w:t>
          </w:r>
          <w:r>
            <w:rPr>
              <w:rStyle w:val="33"/>
              <w:rFonts w:hint="eastAsia" w:ascii="黑体" w:hAnsi="黑体"/>
              <w:snapToGrid w:val="0"/>
              <w:sz w:val="24"/>
            </w:rPr>
            <w:t>教学规章制度执行</w:t>
          </w:r>
          <w:r>
            <w:rPr>
              <w:sz w:val="24"/>
            </w:rPr>
            <w:tab/>
          </w:r>
          <w:r>
            <w:rPr>
              <w:sz w:val="24"/>
            </w:rPr>
            <w:fldChar w:fldCharType="begin"/>
          </w:r>
          <w:r>
            <w:rPr>
              <w:sz w:val="24"/>
            </w:rPr>
            <w:instrText xml:space="preserve"> PAGEREF _Toc533757374 \h </w:instrText>
          </w:r>
          <w:r>
            <w:rPr>
              <w:sz w:val="24"/>
            </w:rPr>
            <w:fldChar w:fldCharType="separate"/>
          </w:r>
          <w:r>
            <w:rPr>
              <w:sz w:val="24"/>
            </w:rPr>
            <w:t>10</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"_Toc533757375" </w:instrText>
          </w:r>
          <w:r>
            <w:fldChar w:fldCharType="separate"/>
          </w:r>
          <w:r>
            <w:rPr>
              <w:rStyle w:val="33"/>
              <w:rFonts w:ascii="黑体" w:hAnsi="黑体"/>
              <w:snapToGrid w:val="0"/>
              <w:sz w:val="24"/>
            </w:rPr>
            <w:t xml:space="preserve">5.2 </w:t>
          </w:r>
          <w:r>
            <w:rPr>
              <w:rStyle w:val="33"/>
              <w:rFonts w:hint="eastAsia" w:ascii="黑体" w:hAnsi="黑体"/>
              <w:snapToGrid w:val="0"/>
              <w:sz w:val="24"/>
            </w:rPr>
            <w:t>教学质量评价体系</w:t>
          </w:r>
          <w:r>
            <w:rPr>
              <w:sz w:val="24"/>
            </w:rPr>
            <w:tab/>
          </w:r>
          <w:r>
            <w:rPr>
              <w:sz w:val="24"/>
            </w:rPr>
            <w:fldChar w:fldCharType="begin"/>
          </w:r>
          <w:r>
            <w:rPr>
              <w:sz w:val="24"/>
            </w:rPr>
            <w:instrText xml:space="preserve"> PAGEREF _Toc533757375 \h </w:instrText>
          </w:r>
          <w:r>
            <w:rPr>
              <w:sz w:val="24"/>
            </w:rPr>
            <w:fldChar w:fldCharType="separate"/>
          </w:r>
          <w:r>
            <w:rPr>
              <w:sz w:val="24"/>
            </w:rPr>
            <w:t>11</w:t>
          </w:r>
          <w:r>
            <w:rPr>
              <w:sz w:val="24"/>
            </w:rPr>
            <w:fldChar w:fldCharType="end"/>
          </w:r>
          <w:r>
            <w:rPr>
              <w:sz w:val="24"/>
            </w:rPr>
            <w:fldChar w:fldCharType="end"/>
          </w:r>
        </w:p>
        <w:p>
          <w:pPr>
            <w:pStyle w:val="21"/>
            <w:tabs>
              <w:tab w:val="right" w:leader="dot" w:pos="8296"/>
            </w:tabs>
            <w:spacing w:line="360" w:lineRule="auto"/>
            <w:ind w:firstLine="420" w:firstLineChars="200"/>
            <w:rPr>
              <w:rFonts w:asciiTheme="minorHAnsi" w:hAnsiTheme="minorHAnsi" w:eastAsiaTheme="minorEastAsia" w:cstheme="minorBidi"/>
              <w:sz w:val="24"/>
            </w:rPr>
          </w:pPr>
          <w:r>
            <w:fldChar w:fldCharType="begin"/>
          </w:r>
          <w:r>
            <w:instrText xml:space="preserve"> HYPERLINK \l "_Toc533757376" </w:instrText>
          </w:r>
          <w:r>
            <w:fldChar w:fldCharType="separate"/>
          </w:r>
          <w:r>
            <w:rPr>
              <w:rStyle w:val="33"/>
              <w:rFonts w:hAnsi="黑体"/>
              <w:bCs/>
              <w:snapToGrid w:val="0"/>
              <w:sz w:val="24"/>
            </w:rPr>
            <w:t>5.3</w:t>
          </w:r>
          <w:r>
            <w:rPr>
              <w:rStyle w:val="33"/>
              <w:rFonts w:hint="eastAsia" w:hAnsi="黑体"/>
              <w:bCs/>
              <w:snapToGrid w:val="0"/>
              <w:sz w:val="24"/>
            </w:rPr>
            <w:t>教学质量效果</w:t>
          </w:r>
          <w:r>
            <w:rPr>
              <w:sz w:val="24"/>
            </w:rPr>
            <w:tab/>
          </w:r>
          <w:r>
            <w:rPr>
              <w:sz w:val="24"/>
            </w:rPr>
            <w:fldChar w:fldCharType="begin"/>
          </w:r>
          <w:r>
            <w:rPr>
              <w:sz w:val="24"/>
            </w:rPr>
            <w:instrText xml:space="preserve"> PAGEREF _Toc533757376 \h </w:instrText>
          </w:r>
          <w:r>
            <w:rPr>
              <w:sz w:val="24"/>
            </w:rPr>
            <w:fldChar w:fldCharType="separate"/>
          </w:r>
          <w:r>
            <w:rPr>
              <w:sz w:val="24"/>
            </w:rPr>
            <w:t>12</w:t>
          </w:r>
          <w:r>
            <w:rPr>
              <w:sz w:val="24"/>
            </w:rPr>
            <w:fldChar w:fldCharType="end"/>
          </w:r>
          <w:r>
            <w:rPr>
              <w:sz w:val="24"/>
            </w:rPr>
            <w:fldChar w:fldCharType="end"/>
          </w:r>
        </w:p>
        <w:p>
          <w:pPr>
            <w:pStyle w:val="21"/>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"_Toc533757377" </w:instrText>
          </w:r>
          <w:r>
            <w:fldChar w:fldCharType="separate"/>
          </w:r>
          <w:r>
            <w:rPr>
              <w:rStyle w:val="33"/>
              <w:rFonts w:hint="eastAsia"/>
              <w:snapToGrid w:val="0"/>
              <w:sz w:val="24"/>
            </w:rPr>
            <w:t>六、基本评价</w:t>
          </w:r>
          <w:r>
            <w:rPr>
              <w:sz w:val="24"/>
            </w:rPr>
            <w:tab/>
          </w:r>
          <w:r>
            <w:rPr>
              <w:sz w:val="24"/>
            </w:rPr>
            <w:fldChar w:fldCharType="begin"/>
          </w:r>
          <w:r>
            <w:rPr>
              <w:sz w:val="24"/>
            </w:rPr>
            <w:instrText xml:space="preserve"> PAGEREF _Toc533757377 \h </w:instrText>
          </w:r>
          <w:r>
            <w:rPr>
              <w:sz w:val="24"/>
            </w:rPr>
            <w:fldChar w:fldCharType="separate"/>
          </w:r>
          <w:r>
            <w:rPr>
              <w:sz w:val="24"/>
            </w:rPr>
            <w:t>13</w:t>
          </w:r>
          <w:r>
            <w:rPr>
              <w:sz w:val="24"/>
            </w:rPr>
            <w:fldChar w:fldCharType="end"/>
          </w:r>
          <w:r>
            <w:rPr>
              <w:sz w:val="24"/>
            </w:rPr>
            <w:fldChar w:fldCharType="end"/>
          </w:r>
        </w:p>
        <w:p>
          <w:pPr>
            <w:pStyle w:val="21"/>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"_Toc533757378" </w:instrText>
          </w:r>
          <w:r>
            <w:fldChar w:fldCharType="separate"/>
          </w:r>
          <w:r>
            <w:rPr>
              <w:rStyle w:val="33"/>
              <w:rFonts w:hint="eastAsia"/>
              <w:snapToGrid w:val="0"/>
              <w:sz w:val="24"/>
            </w:rPr>
            <w:t>七、需要解决的问题</w:t>
          </w:r>
          <w:r>
            <w:rPr>
              <w:sz w:val="24"/>
            </w:rPr>
            <w:tab/>
          </w:r>
          <w:r>
            <w:rPr>
              <w:sz w:val="24"/>
            </w:rPr>
            <w:fldChar w:fldCharType="begin"/>
          </w:r>
          <w:r>
            <w:rPr>
              <w:sz w:val="24"/>
            </w:rPr>
            <w:instrText xml:space="preserve"> PAGEREF _Toc533757378 \h </w:instrText>
          </w:r>
          <w:r>
            <w:rPr>
              <w:sz w:val="24"/>
            </w:rPr>
            <w:fldChar w:fldCharType="separate"/>
          </w:r>
          <w:r>
            <w:rPr>
              <w:sz w:val="24"/>
            </w:rPr>
            <w:t>13</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"_Toc533757379" </w:instrText>
          </w:r>
          <w:r>
            <w:fldChar w:fldCharType="separate"/>
          </w:r>
          <w:r>
            <w:rPr>
              <w:rStyle w:val="33"/>
              <w:rFonts w:ascii="黑体" w:hAnsi="黑体"/>
              <w:snapToGrid w:val="0"/>
              <w:sz w:val="24"/>
            </w:rPr>
            <w:t>7.1</w:t>
          </w:r>
          <w:r>
            <w:rPr>
              <w:rStyle w:val="33"/>
              <w:rFonts w:hint="eastAsia" w:ascii="黑体" w:hAnsi="黑体"/>
              <w:snapToGrid w:val="0"/>
              <w:sz w:val="24"/>
            </w:rPr>
            <w:t>材料科学与工程专业建设存在的问题</w:t>
          </w:r>
          <w:r>
            <w:rPr>
              <w:sz w:val="24"/>
            </w:rPr>
            <w:tab/>
          </w:r>
          <w:r>
            <w:rPr>
              <w:sz w:val="24"/>
            </w:rPr>
            <w:fldChar w:fldCharType="begin"/>
          </w:r>
          <w:r>
            <w:rPr>
              <w:sz w:val="24"/>
            </w:rPr>
            <w:instrText xml:space="preserve"> PAGEREF _Toc533757379 \h </w:instrText>
          </w:r>
          <w:r>
            <w:rPr>
              <w:sz w:val="24"/>
            </w:rPr>
            <w:fldChar w:fldCharType="separate"/>
          </w:r>
          <w:r>
            <w:rPr>
              <w:sz w:val="24"/>
            </w:rPr>
            <w:t>13</w:t>
          </w:r>
          <w:r>
            <w:rPr>
              <w:sz w:val="24"/>
            </w:rPr>
            <w:fldChar w:fldCharType="end"/>
          </w:r>
          <w:r>
            <w:rPr>
              <w:sz w:val="24"/>
            </w:rPr>
            <w:fldChar w:fldCharType="end"/>
          </w:r>
        </w:p>
        <w:p>
          <w:pPr>
            <w:pStyle w:val="24"/>
            <w:tabs>
              <w:tab w:val="right" w:leader="dot" w:pos="8296"/>
            </w:tabs>
            <w:spacing w:line="360" w:lineRule="auto"/>
            <w:rPr>
              <w:rFonts w:asciiTheme="minorHAnsi" w:hAnsiTheme="minorHAnsi" w:eastAsiaTheme="minorEastAsia" w:cstheme="minorBidi"/>
              <w:sz w:val="24"/>
            </w:rPr>
          </w:pPr>
          <w:r>
            <w:fldChar w:fldCharType="begin"/>
          </w:r>
          <w:r>
            <w:instrText xml:space="preserve"> HYPERLINK \l "_Toc533757380" </w:instrText>
          </w:r>
          <w:r>
            <w:fldChar w:fldCharType="separate"/>
          </w:r>
          <w:r>
            <w:rPr>
              <w:rStyle w:val="33"/>
              <w:rFonts w:ascii="黑体" w:hAnsi="黑体"/>
              <w:snapToGrid w:val="0"/>
              <w:sz w:val="24"/>
            </w:rPr>
            <w:t>7.2</w:t>
          </w:r>
          <w:r>
            <w:rPr>
              <w:rStyle w:val="33"/>
              <w:rFonts w:hint="eastAsia" w:ascii="黑体" w:hAnsi="黑体"/>
              <w:snapToGrid w:val="0"/>
              <w:sz w:val="24"/>
            </w:rPr>
            <w:t>提高本专业建设水平的工作思路</w:t>
          </w:r>
          <w:r>
            <w:rPr>
              <w:sz w:val="24"/>
            </w:rPr>
            <w:tab/>
          </w:r>
          <w:r>
            <w:rPr>
              <w:sz w:val="24"/>
            </w:rPr>
            <w:fldChar w:fldCharType="begin"/>
          </w:r>
          <w:r>
            <w:rPr>
              <w:sz w:val="24"/>
            </w:rPr>
            <w:instrText xml:space="preserve"> PAGEREF _Toc533757380 \h </w:instrText>
          </w:r>
          <w:r>
            <w:rPr>
              <w:sz w:val="24"/>
            </w:rPr>
            <w:fldChar w:fldCharType="separate"/>
          </w:r>
          <w:r>
            <w:rPr>
              <w:sz w:val="24"/>
            </w:rPr>
            <w:t>14</w:t>
          </w:r>
          <w:r>
            <w:rPr>
              <w:sz w:val="24"/>
            </w:rPr>
            <w:fldChar w:fldCharType="end"/>
          </w:r>
          <w:r>
            <w:rPr>
              <w:sz w:val="24"/>
            </w:rPr>
            <w:fldChar w:fldCharType="end"/>
          </w:r>
        </w:p>
        <w:p>
          <w:pPr>
            <w:spacing w:line="360" w:lineRule="auto"/>
            <w:rPr>
              <w:sz w:val="24"/>
            </w:rPr>
          </w:pPr>
          <w:r>
            <w:rPr>
              <w:b/>
              <w:bCs/>
              <w:sz w:val="24"/>
              <w:lang w:val="zh-CN"/>
            </w:rPr>
            <w:fldChar w:fldCharType="end"/>
          </w:r>
        </w:p>
      </w:sdtContent>
    </w:sdt>
    <w:p>
      <w:pPr>
        <w:widowControl/>
        <w:jc w:val="left"/>
        <w:rPr>
          <w:rFonts w:ascii="黑体" w:hAnsi="黑体" w:eastAsia="黑体" w:cs="Arial"/>
          <w:b/>
          <w:bCs/>
          <w:snapToGrid w:val="0"/>
          <w:sz w:val="36"/>
          <w:szCs w:val="36"/>
        </w:rPr>
      </w:pPr>
      <w:r>
        <w:rPr>
          <w:color w:val="000000"/>
          <w:sz w:val="24"/>
        </w:rPr>
        <w:br w:type="page"/>
      </w:r>
    </w:p>
    <w:p>
      <w:pPr>
        <w:pStyle w:val="27"/>
        <w:keepLines w:val="0"/>
        <w:pageBreakBefore w:val="0"/>
        <w:widowControl w:val="0"/>
        <w:kinsoku/>
        <w:wordWrap/>
        <w:overflowPunct/>
        <w:topLinePunct w:val="0"/>
        <w:autoSpaceDE/>
        <w:autoSpaceDN/>
        <w:bidi w:val="0"/>
        <w:adjustRightInd/>
        <w:snapToGrid w:val="0"/>
        <w:spacing w:before="0" w:after="156" w:afterLines="50" w:line="240" w:lineRule="auto"/>
        <w:textAlignment w:val="auto"/>
        <w:rPr>
          <w:rFonts w:hint="eastAsia" w:ascii="黑体" w:hAnsi="黑体" w:eastAsia="黑体" w:cs="黑体"/>
          <w:b/>
          <w:bCs/>
          <w:snapToGrid w:val="0"/>
          <w:sz w:val="36"/>
          <w:szCs w:val="36"/>
        </w:rPr>
      </w:pPr>
      <w:bookmarkStart w:id="1" w:name="_Toc533756950"/>
      <w:bookmarkStart w:id="2" w:name="_Toc533757360"/>
      <w:r>
        <w:rPr>
          <w:rFonts w:hint="eastAsia" w:ascii="黑体" w:hAnsi="黑体" w:eastAsia="黑体" w:cs="黑体"/>
          <w:b/>
          <w:bCs/>
          <w:snapToGrid w:val="0"/>
          <w:sz w:val="36"/>
          <w:szCs w:val="36"/>
        </w:rPr>
        <w:t>材料科学与工程专业自查报告</w:t>
      </w:r>
      <w:bookmarkEnd w:id="0"/>
      <w:bookmarkEnd w:id="1"/>
      <w:bookmarkEnd w:id="2"/>
    </w:p>
    <w:p>
      <w:pPr>
        <w:pStyle w:val="2"/>
        <w:keepLines w:val="0"/>
        <w:pageBreakBefore w:val="0"/>
        <w:widowControl w:val="0"/>
        <w:kinsoku/>
        <w:wordWrap/>
        <w:overflowPunct/>
        <w:topLinePunct w:val="0"/>
        <w:autoSpaceDE/>
        <w:autoSpaceDN/>
        <w:bidi w:val="0"/>
        <w:adjustRightInd/>
        <w:snapToGrid w:val="0"/>
        <w:spacing w:line="240" w:lineRule="auto"/>
        <w:jc w:val="left"/>
        <w:textAlignment w:val="auto"/>
        <w:rPr>
          <w:b w:val="0"/>
          <w:bCs/>
          <w:snapToGrid w:val="0"/>
          <w:sz w:val="30"/>
          <w:szCs w:val="30"/>
        </w:rPr>
      </w:pPr>
      <w:bookmarkStart w:id="3" w:name="_Toc533757361"/>
      <w:bookmarkStart w:id="4" w:name="_Toc532459038"/>
      <w:r>
        <w:rPr>
          <w:rFonts w:hint="eastAsia"/>
          <w:b w:val="0"/>
          <w:bCs/>
          <w:snapToGrid w:val="0"/>
          <w:sz w:val="30"/>
          <w:szCs w:val="30"/>
        </w:rPr>
        <w:t>一、专业建设基本情况</w:t>
      </w:r>
      <w:bookmarkEnd w:id="3"/>
      <w:bookmarkEnd w:id="4"/>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Ansi="宋体"/>
          <w:sz w:val="24"/>
          <w:szCs w:val="24"/>
        </w:rPr>
      </w:pPr>
      <w:r>
        <w:rPr>
          <w:rFonts w:hint="eastAsia" w:hAnsi="宋体"/>
          <w:sz w:val="24"/>
          <w:szCs w:val="24"/>
        </w:rPr>
        <w:t>西安文理学院材料科学与工程专业于2014年11月</w:t>
      </w:r>
      <w:bookmarkStart w:id="42" w:name="_GoBack"/>
      <w:bookmarkEnd w:id="42"/>
      <w:r>
        <w:rPr>
          <w:rFonts w:hint="eastAsia" w:hAnsi="宋体"/>
          <w:sz w:val="24"/>
          <w:szCs w:val="24"/>
        </w:rPr>
        <w:t>获得国家教育部批准建立，2015年7月招生。截至2019年12月，材料科学与工程专业在校生共140人，年报到率在92%—98%，2019年首届毕业生67人。该专业以服务地方经济发展为目标，立足表面工程和增材制造行业发展对人才的需求，聚焦我校办学定位，以“科教融合+产出导向”为教学模式，建立“4+1+1” （专业认知模块、专业理论教育模块、工程实践、专业综合实训+创新创业模块+毕业设计模块）的课程体系，推行课程主讲负责制、全程导师及学科竞赛全员参与制，打通一二课堂，培养具有“工匠精神”和一定的创新意识以及分析解决材料领域复杂工程问题能力的应用型工程技术人才。</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本专业从以下几个方面着手进行专业建设：</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第一,确定专业建设带头人：由徐可为教授担任专业带头人，机械与材料工程学院畅庚榕讲师担任专业建设负责人；</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第二，建立了稳定的专业专任教师队伍，初步形成了以3名教授为引领,10名博士为青年骨干，形成了老、中、青相结合的教师队伍，有效支撑材料科学与工程的专业教学、科研及服务社会等多方面工作的展开；</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第三，2017年与西安交通大学建立材料专业“研究生联合培养工作站”，并展开实质性工作；本专业4名教师具有指导研究生的经历，获得研究生指导资格。</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四，材料科学与工程专业参考西安交通大学、空军工程兵学院、陕西师范大学、西安工程大学、宝鸡文理学院、上海应用大学、南山学院等先进院校材料专业课程建设经验，研拟适合省情、校情及院情的专业课程设置。在课程建设方面，经过四年的不断凝练，共设置7门专业基础必修课、8门专业核心课、8门专业必修课,3门专业选修课，10门专业实践实训课，其中1门现场教学课程，共169.5学分。通过相关课程的讲授与实践，加强学生对材料科学与工程专业的基本理论知识的掌握和应用，培养学生关于现代材料发展、专业基本素养和基本技能的训练，加强社会实践与理论知识的有机结合，提高解决材料工程复杂问题的能力。</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第五，材料科学与工程</w:t>
      </w:r>
      <w:r>
        <w:rPr>
          <w:rFonts w:hint="eastAsia" w:hAnsi="宋体"/>
          <w:sz w:val="24"/>
          <w:szCs w:val="24"/>
        </w:rPr>
        <w:t>专业专任教师主持陕西省科技统筹项目1项，陕西省科技攻关项目1项，陕西省人民政府支持项目1项，陕西省科学自然基金</w:t>
      </w:r>
      <w:r>
        <w:rPr>
          <w:rFonts w:hint="eastAsia" w:hAnsi="宋体"/>
          <w:sz w:val="24"/>
          <w:szCs w:val="24"/>
        </w:rPr>
        <w:t>2项，陕西省教育厅教学改革项目</w:t>
      </w:r>
      <w:r>
        <w:rPr>
          <w:rFonts w:hint="eastAsia" w:hAnsi="宋体"/>
          <w:sz w:val="24"/>
          <w:szCs w:val="24"/>
        </w:rPr>
        <w:t>1项，省部级其他项目1项，西安市高校人才服务企业工程项目</w:t>
      </w:r>
      <w:r>
        <w:rPr>
          <w:rFonts w:hint="eastAsia" w:hAnsi="宋体"/>
          <w:sz w:val="24"/>
          <w:szCs w:val="24"/>
        </w:rPr>
        <w:t>1项，陕西省教育厅项目</w:t>
      </w:r>
      <w:r>
        <w:rPr>
          <w:rFonts w:hint="eastAsia" w:hAnsi="宋体"/>
          <w:sz w:val="24"/>
          <w:szCs w:val="24"/>
        </w:rPr>
        <w:t>5项，西安市科技计划</w:t>
      </w:r>
      <w:r>
        <w:rPr>
          <w:rFonts w:hint="eastAsia" w:hAnsi="宋体"/>
          <w:sz w:val="24"/>
          <w:szCs w:val="24"/>
        </w:rPr>
        <w:t>11项，横向课题</w:t>
      </w:r>
      <w:r>
        <w:rPr>
          <w:rFonts w:hint="eastAsia" w:hAnsi="宋体"/>
          <w:sz w:val="24"/>
          <w:szCs w:val="24"/>
        </w:rPr>
        <w:t>13项，国家级大创项目2项，省级大创项目6项，校级教改项目、SPOC课程共18项，申报金课2门，专业教师参与项目若干；获得西安市科技进步奖一等奖1项，陕西省科学技术奖二等奖1项；发表科研论文30余篇（SCI 13篇，EI 4篇），教改论文1项；授权发明专利9项，实用新型专利2项，申报专利15项。</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 xml:space="preserve">第六，材料科学与工程专业选派5名青年教师前往兄弟院校进行教学及科研有关的培训工作，1名教师前往“辛辛那提大学”进行访学，1名教师继续“博士后”深造，3名教师前往厦门大学、东南大学进行教学技能培训，成效显著，有力提高了材料专业教师的综合素质和教学科研水平。 </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七，材料科学与工程专业与陕西天元智能再制造有限公司、西安陕鼓动力股份有限公司、中国洛阳一拖集团、西安建筑科技大学联合工程中心、西安中科中美激光科技有限公司、西安西谷微电子有限公司、陕西华威科技股份有限公司、西安天奥新材料有限公司、强信机械科技有限公司、西安精一有限公司等10家企业建立产学研、实践实习基地，有力推动师生教学实践实习工作的开展。</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第八，校图书馆为材料专业订购了相应的专业书籍和专业刊物，图书数目10.233万</w:t>
      </w:r>
      <w:r>
        <w:rPr>
          <w:rFonts w:hint="eastAsia" w:hAnsi="宋体"/>
          <w:sz w:val="24"/>
          <w:szCs w:val="24"/>
        </w:rPr>
        <w:t>册，电子图书资源数据库5个，院阅览室根据专业需要，积极充实专业图书，其中，材料专业所购书籍不低于院所购书籍的三分之一。</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九，材料专业依托陕西省表面工程与再制造重点实验室、西安市增材制造重点实验室，学院积极围绕材料专业建设需要构建专业性实验室，已成立专业实验室4个，在建2个专业实验室、1个逆向设计和增材制造实训室。</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第十，专业立足陕西，紧抓学科竞赛工作和学生创新创业实践工作，获得近5年来，学生</w:t>
      </w:r>
      <w:r>
        <w:rPr>
          <w:rFonts w:hint="eastAsia" w:hAnsi="宋体"/>
          <w:sz w:val="24"/>
          <w:szCs w:val="24"/>
        </w:rPr>
        <w:t>获得学科竞赛全国特等奖1项、一等奖2项、二等奖3项、三等奖7项，国家级优秀奖8项，省级一等奖2项、二等奖3、三等奖2项，国家级大赛团体二等奖1项、优秀组织奖1项，优秀指导教师1项。组织校级“金相杯”大赛2届。学生主持完成国家级大学生创新创业项目2项、省级项目6项。</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hAnsi="宋体"/>
          <w:sz w:val="24"/>
          <w:szCs w:val="24"/>
        </w:rPr>
      </w:pPr>
      <w:r>
        <w:rPr>
          <w:rFonts w:hint="eastAsia" w:hAnsi="宋体"/>
          <w:sz w:val="24"/>
          <w:szCs w:val="24"/>
        </w:rPr>
        <w:t>依据陕西省普通高等学校新设专业建设标准，我们对材料科学与工程建设情况进行自查，自查结果为符合新设专业建设5大一级指标11项2级指标标准，达到了新设专业建设阶段性目的，自评等级为A。</w:t>
      </w:r>
    </w:p>
    <w:p>
      <w:pPr>
        <w:pStyle w:val="2"/>
        <w:keepNext/>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b w:val="0"/>
          <w:bCs/>
          <w:snapToGrid w:val="0"/>
          <w:sz w:val="30"/>
          <w:szCs w:val="30"/>
        </w:rPr>
      </w:pPr>
      <w:bookmarkStart w:id="5" w:name="_Toc532459039"/>
      <w:bookmarkStart w:id="6" w:name="_Toc533757362"/>
      <w:r>
        <w:rPr>
          <w:rFonts w:hint="eastAsia"/>
          <w:b w:val="0"/>
          <w:bCs/>
          <w:snapToGrid w:val="0"/>
          <w:sz w:val="30"/>
          <w:szCs w:val="30"/>
        </w:rPr>
        <w:t>二、专业定位与培养方案</w:t>
      </w:r>
      <w:bookmarkEnd w:id="5"/>
      <w:bookmarkEnd w:id="6"/>
    </w:p>
    <w:p>
      <w:pPr>
        <w:pStyle w:val="14"/>
        <w:spacing w:line="400" w:lineRule="exact"/>
        <w:ind w:firstLine="480" w:firstLineChars="200"/>
        <w:rPr>
          <w:rFonts w:hint="eastAsia" w:hAnsi="宋体"/>
          <w:sz w:val="24"/>
          <w:szCs w:val="24"/>
        </w:rPr>
      </w:pPr>
      <w:r>
        <w:rPr>
          <w:rFonts w:hint="eastAsia" w:hAnsi="宋体"/>
          <w:sz w:val="24"/>
          <w:szCs w:val="24"/>
        </w:rPr>
        <w:t>本专业以服务地方经济发展为目标，立足表面工程和增材制造行业发展对人才的需求，聚焦我校办学定位，以“科教融合+产出导向”为教学模式，建立“4+1+1”（开学模块+专业模块+工程实践+创新创业模块+专业综合实训+毕业模块）的课程体系，培养具有“工匠精神”和一定的创新意识以及分析解决材料领域复杂工程问题能力的应用型工程技术人才。</w:t>
      </w:r>
      <w:r>
        <w:rPr>
          <w:rFonts w:hint="eastAsia" w:hAnsi="宋体"/>
          <w:sz w:val="24"/>
          <w:szCs w:val="24"/>
        </w:rPr>
        <w:t>近四年来该专业按照建设目标及进度计划，结合学院的教学、科研工作，以学校人才培养定位为依据，明确建设的目标、思路、计划和任务，修订人才培养方案，完善课程体系，改革教学内容，积极探索与实践，取得了一定成果，各项教学工作顺利推进。</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hint="eastAsia" w:ascii="黑体" w:hAnsi="黑体"/>
          <w:b w:val="0"/>
          <w:bCs w:val="0"/>
          <w:snapToGrid w:val="0"/>
          <w:sz w:val="28"/>
          <w:szCs w:val="28"/>
        </w:rPr>
      </w:pPr>
      <w:bookmarkStart w:id="7" w:name="_Toc532459040"/>
      <w:bookmarkStart w:id="8" w:name="_Toc533757363"/>
      <w:r>
        <w:rPr>
          <w:rFonts w:hint="eastAsia" w:ascii="黑体" w:hAnsi="黑体"/>
          <w:b w:val="0"/>
          <w:bCs w:val="0"/>
          <w:snapToGrid w:val="0"/>
          <w:sz w:val="28"/>
          <w:szCs w:val="28"/>
        </w:rPr>
        <w:t xml:space="preserve">2.1 </w:t>
      </w:r>
      <w:r>
        <w:rPr>
          <w:rFonts w:hint="eastAsia" w:ascii="黑体" w:hAnsi="黑体"/>
          <w:b w:val="0"/>
          <w:bCs w:val="0"/>
          <w:snapToGrid w:val="0"/>
          <w:sz w:val="28"/>
          <w:szCs w:val="28"/>
        </w:rPr>
        <w:t>专业发展定位</w:t>
      </w:r>
      <w:bookmarkEnd w:id="7"/>
      <w:bookmarkEnd w:id="8"/>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z w:val="24"/>
        </w:rPr>
      </w:pPr>
      <w:r>
        <w:rPr>
          <w:rFonts w:hint="eastAsia" w:ascii="宋体" w:hAnsi="宋体"/>
          <w:sz w:val="24"/>
        </w:rPr>
        <w:t>材料工业是国民经济的基础产业，新材料技术是材料工业发展的先导，是重要的战略性新兴产业。“十三五”时期，是我国材料工业由大变强的关键时期。加快培育和发展新材料新技术产业，对于引领材料工业升级换代，支撑战略性新兴产业发展，保障国家重大工程建设，促进传统产业转型升级，构建国际竞争新优势具有重要的战略意义。</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z w:val="24"/>
        </w:rPr>
      </w:pPr>
      <w:r>
        <w:rPr>
          <w:rFonts w:hint="eastAsia" w:ascii="宋体" w:hAnsi="宋体"/>
          <w:sz w:val="24"/>
        </w:rPr>
        <w:t>“十三五”期间，陕西省作为“一带一路”沿线重要区域，肩负国家的战略崛起。而“十三五”规划中，涂层材料、涂层沉积技术和薄膜材料是发展重点之一，积极推进纳米薄膜材料在新能源、节能减排、环境治理、绿色印刷、功能涂层、电子信息和生物医用等领域的研究应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z w:val="24"/>
        </w:rPr>
      </w:pPr>
      <w:r>
        <w:rPr>
          <w:rFonts w:hint="eastAsia" w:ascii="宋体" w:hAnsi="宋体"/>
          <w:sz w:val="24"/>
        </w:rPr>
        <w:t>作为工业大省的陕西省，云集了众多的重型机械、航空航天、机床制造等企业，具有广阔的再制造市场前景，先进表面工程和再制造技术为主要支撑的新兴制造产业已经成为国家七大战略性新兴产业之一，已</w:t>
      </w:r>
      <w:r>
        <w:rPr>
          <w:rFonts w:hint="eastAsia" w:ascii="宋体" w:hAnsi="宋体"/>
          <w:bCs/>
          <w:sz w:val="24"/>
        </w:rPr>
        <w:t>陕西省和西安市重点培育发展的支柱产业，是推动区域经济和先进制造业发展的重要举措。</w:t>
      </w:r>
      <w:r>
        <w:rPr>
          <w:rFonts w:hint="eastAsia" w:ascii="宋体" w:hAnsi="宋体"/>
          <w:sz w:val="24"/>
        </w:rPr>
        <w:t>然而，目前我省在表面工程与再制造方向的本科专业仅西安文理学院独有。据调查，在我省从事再制造产业的企业有西安陕鼓动力股份有限公司、陕西天元智能再制造有限公司、陕西秦川设备成套服务有限公司、西安泰富西玛电机有限公司、中国重型机械研究院股份公司等，这些企业经过自身的努力已取得了初步成果和效益；在我省从事再制造与表面工程研究的高校有西安交通大学、西北工业大学、长安大学、陕西科技大学等高校，但这些高校目前也只是以课题研究形式涉足表面工程与再制造业，并没有系统的形成人才培养方案，故</w:t>
      </w:r>
      <w:r>
        <w:rPr>
          <w:rFonts w:hint="eastAsia" w:ascii="宋体" w:hAnsi="宋体"/>
          <w:b/>
          <w:sz w:val="24"/>
        </w:rPr>
        <w:t>西安文理学院材料科学与工程专业适应机械与材料专业的发展趋势，为再制造产业培养所需的高层次技术人才，有着良好的发展前景。培养具备扎实理论知识和较强实践能力的“表面工程”领域的应用型人才，是推动区域经济和先进制造业发展的重要举措。</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z w:val="24"/>
        </w:rPr>
      </w:pPr>
      <w:r>
        <w:rPr>
          <w:rFonts w:ascii="宋体" w:hAnsi="宋体"/>
          <w:sz w:val="24"/>
        </w:rPr>
        <w:t>材料科学与工程专业依托</w:t>
      </w:r>
      <w:r>
        <w:rPr>
          <w:rFonts w:ascii="宋体" w:hAnsi="宋体"/>
          <w:b/>
          <w:sz w:val="24"/>
        </w:rPr>
        <w:t>“陕西省再制造技术与表面工程重点实验室”</w:t>
      </w:r>
      <w:r>
        <w:rPr>
          <w:rFonts w:ascii="宋体" w:hAnsi="宋体"/>
          <w:sz w:val="24"/>
        </w:rPr>
        <w:t>，成立了</w:t>
      </w:r>
      <w:r>
        <w:rPr>
          <w:rFonts w:hint="eastAsia" w:ascii="宋体" w:hAnsi="宋体"/>
          <w:sz w:val="24"/>
        </w:rPr>
        <w:t>“西安市增材制造重点实验室”，</w:t>
      </w:r>
      <w:r>
        <w:rPr>
          <w:rFonts w:ascii="宋体" w:hAnsi="宋体"/>
          <w:sz w:val="24"/>
        </w:rPr>
        <w:t>方向定位于表面工程与再制造技术，以解决生产过程中的资源浪费、环境污染为宗旨，为资源的可循环利用、废旧产品翻新寻找最佳方法和途径，是战略性新兴专业方向，符合国家可持续发展战略。根据学校建设具有鲜明特色的高水平大学的奋斗目标</w:t>
      </w:r>
      <w:r>
        <w:rPr>
          <w:rFonts w:hint="eastAsia" w:ascii="宋体" w:hAnsi="宋体"/>
          <w:sz w:val="24"/>
        </w:rPr>
        <w:t>，</w:t>
      </w:r>
      <w:r>
        <w:rPr>
          <w:rFonts w:ascii="宋体" w:hAnsi="宋体"/>
          <w:sz w:val="24"/>
        </w:rPr>
        <w:t>到</w:t>
      </w:r>
      <w:r>
        <w:rPr>
          <w:rFonts w:hint="eastAsia" w:ascii="宋体" w:hAnsi="宋体"/>
          <w:sz w:val="24"/>
        </w:rPr>
        <w:t>2019年，材料科学与工程专业形成专业教学团队和科研梯队，</w:t>
      </w:r>
      <w:r>
        <w:rPr>
          <w:rFonts w:ascii="宋体" w:hAnsi="宋体"/>
          <w:sz w:val="24"/>
        </w:rPr>
        <w:t>围绕省重点实验室形成了</w:t>
      </w:r>
      <w:r>
        <w:rPr>
          <w:rFonts w:hint="eastAsia" w:ascii="宋体" w:hAnsi="宋体"/>
          <w:sz w:val="24"/>
        </w:rPr>
        <w:t>表面工程及装备延寿技术，装备再制造及增材成形技术，装备再制造智能化技术</w:t>
      </w:r>
      <w:r>
        <w:rPr>
          <w:rFonts w:ascii="宋体" w:hAnsi="宋体"/>
          <w:sz w:val="24"/>
        </w:rPr>
        <w:t>三个方向研究</w:t>
      </w:r>
      <w:r>
        <w:rPr>
          <w:rFonts w:hint="eastAsia" w:ascii="宋体" w:hAnsi="宋体"/>
          <w:sz w:val="24"/>
        </w:rPr>
        <w:t>，</w:t>
      </w:r>
      <w:r>
        <w:rPr>
          <w:rFonts w:ascii="宋体" w:hAnsi="宋体"/>
          <w:sz w:val="24"/>
        </w:rPr>
        <w:t>并初步形成特色</w:t>
      </w:r>
      <w:r>
        <w:rPr>
          <w:rFonts w:hint="eastAsia" w:ascii="宋体" w:hAnsi="宋体"/>
          <w:sz w:val="24"/>
        </w:rPr>
        <w:t>。力争到2020年，培养出一批的高质量的应用创新人才，紧密结合陕西省情，提高服务陕西经济社会能力，将材料科学与工程专业在陕西省的材料和机械领域形成一定的影响力。</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ascii="黑体" w:hAnsi="黑体"/>
          <w:b w:val="0"/>
          <w:bCs w:val="0"/>
          <w:snapToGrid w:val="0"/>
          <w:sz w:val="28"/>
          <w:szCs w:val="28"/>
        </w:rPr>
      </w:pPr>
      <w:bookmarkStart w:id="9" w:name="_Toc533757364"/>
      <w:bookmarkStart w:id="10" w:name="_Toc532459041"/>
      <w:r>
        <w:rPr>
          <w:rFonts w:hint="eastAsia" w:ascii="黑体" w:hAnsi="黑体"/>
          <w:b w:val="0"/>
          <w:bCs w:val="0"/>
          <w:snapToGrid w:val="0"/>
          <w:sz w:val="28"/>
          <w:szCs w:val="28"/>
        </w:rPr>
        <w:t>2</w:t>
      </w:r>
      <w:r>
        <w:rPr>
          <w:rFonts w:ascii="黑体" w:hAnsi="黑体"/>
          <w:b w:val="0"/>
          <w:bCs w:val="0"/>
          <w:snapToGrid w:val="0"/>
          <w:sz w:val="28"/>
          <w:szCs w:val="28"/>
        </w:rPr>
        <w:t>.</w:t>
      </w:r>
      <w:r>
        <w:rPr>
          <w:rFonts w:hint="eastAsia" w:ascii="黑体" w:hAnsi="黑体"/>
          <w:b w:val="0"/>
          <w:bCs w:val="0"/>
          <w:snapToGrid w:val="0"/>
          <w:sz w:val="28"/>
          <w:szCs w:val="28"/>
        </w:rPr>
        <w:t>2专业人才培养方案</w:t>
      </w:r>
      <w:bookmarkEnd w:id="9"/>
      <w:bookmarkEnd w:id="10"/>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Ansi="宋体" w:cs="Times New Roman"/>
          <w:snapToGrid w:val="0"/>
          <w:sz w:val="24"/>
          <w:szCs w:val="24"/>
        </w:rPr>
      </w:pPr>
      <w:r>
        <w:rPr>
          <w:rFonts w:hint="eastAsia" w:hAnsi="宋体" w:cs="Times New Roman"/>
          <w:snapToGrid w:val="0"/>
          <w:sz w:val="24"/>
          <w:szCs w:val="24"/>
        </w:rPr>
        <w:t>材料科学与工程专业以表面工程和再制造技术为专业定位方向，而再制造技术为材料学与表面工程、机械专业、光电专业的交叉科学技术，为21世纪的新兴产业，其技术本身的发展日新月异，作为培养这方面高级人才的高校，本专业教育也必须随之作相应的发展，以适应社会的要求，培养满足</w:t>
      </w:r>
      <w:r>
        <w:rPr>
          <w:rFonts w:hAnsi="宋体" w:cs="Times New Roman"/>
          <w:snapToGrid w:val="0"/>
          <w:sz w:val="24"/>
          <w:szCs w:val="24"/>
        </w:rPr>
        <w:t>21</w:t>
      </w:r>
      <w:r>
        <w:rPr>
          <w:rFonts w:hint="eastAsia" w:hAnsi="宋体" w:cs="Times New Roman"/>
          <w:snapToGrid w:val="0"/>
          <w:sz w:val="24"/>
          <w:szCs w:val="24"/>
        </w:rPr>
        <w:t>世纪需要的基础扎实、知识面宽、能力强、素质高的人才。</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Ansi="宋体"/>
          <w:snapToGrid w:val="0"/>
          <w:sz w:val="24"/>
        </w:rPr>
      </w:pPr>
      <w:r>
        <w:rPr>
          <w:rFonts w:hint="eastAsia" w:hAnsi="宋体" w:cs="Times New Roman"/>
          <w:snapToGrid w:val="0"/>
          <w:sz w:val="24"/>
          <w:szCs w:val="24"/>
        </w:rPr>
        <w:t>在人才培养目标方面，坚持“地方性、应用型、开放式”的人才培养定位，坚持走转型升级、创新驱动、内涵发展、质量取胜之路，以学科建设为龙头，以教学质量为抓手，通过加强专业建设，形成规模、结构、质量、效益协调发展和可持续发展的人才培养机制。</w:t>
      </w:r>
      <w:r>
        <w:rPr>
          <w:rFonts w:hint="eastAsia" w:hAnsi="宋体"/>
          <w:snapToGrid w:val="0"/>
          <w:sz w:val="24"/>
        </w:rPr>
        <w:t>培养适应经济建设和材料行业发展需求，掌握扎实的材料科学基础知识、表面工程领域的基础理论知识，具有高度的社会责任感、良好的人文素养、团队合作精神和健康的身心素质，具有一定的创新意识以及分析和解决材料领域复杂工程问题能力的应用型工程技术人才。学生毕业后，能在装备制造、航空航天、冶金化工、生物医疗、半导体等行业的材料表面工程、增材制造（3D打印）、智能制造、材料测试与分析等材料相关领域，从事工艺设计、技术开发、生产与质量管理等工作。</w:t>
      </w:r>
    </w:p>
    <w:p>
      <w:pPr>
        <w:pStyle w:val="14"/>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Ansi="宋体" w:cs="Times New Roman"/>
          <w:snapToGrid w:val="0"/>
          <w:sz w:val="24"/>
          <w:szCs w:val="24"/>
        </w:rPr>
      </w:pPr>
      <w:r>
        <w:rPr>
          <w:rFonts w:hint="eastAsia" w:hAnsi="宋体" w:cs="Times New Roman"/>
          <w:snapToGrid w:val="0"/>
          <w:sz w:val="24"/>
          <w:szCs w:val="24"/>
        </w:rPr>
        <w:t>本专业以人才培养模式改革为依托、能力培养为主线、课程建设改革为核心，优化教师队伍结构和实践资源配置，主动适应地方经济建设发展需要，逐步形成专业特色，使本专业成为再制造技术和表面工程应用型人才的培养基地。本专业的建设目标定位于稳定发展普通本科层次的办学规模，积极服务于陕西省经济的发展，以再制造技术与表面工程专业人才的培养为专业发展方向，大力发展社会所需要的再制造技术类人才，努力打造以高层次技术人才教育为特色的材料专业。</w:t>
      </w:r>
    </w:p>
    <w:p>
      <w:pPr>
        <w:pStyle w:val="2"/>
        <w:keepNext/>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b w:val="0"/>
          <w:bCs/>
          <w:snapToGrid w:val="0"/>
          <w:sz w:val="30"/>
          <w:szCs w:val="30"/>
        </w:rPr>
      </w:pPr>
      <w:bookmarkStart w:id="11" w:name="_Toc532459042"/>
      <w:bookmarkStart w:id="12" w:name="_Toc533757365"/>
      <w:r>
        <w:rPr>
          <w:rFonts w:hint="eastAsia"/>
          <w:b w:val="0"/>
          <w:bCs/>
          <w:snapToGrid w:val="0"/>
          <w:sz w:val="30"/>
          <w:szCs w:val="30"/>
        </w:rPr>
        <w:t>三、专业师资队伍</w:t>
      </w:r>
      <w:bookmarkEnd w:id="11"/>
      <w:bookmarkEnd w:id="12"/>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hint="eastAsia" w:ascii="黑体" w:hAnsi="黑体"/>
          <w:b w:val="0"/>
          <w:bCs w:val="0"/>
          <w:snapToGrid w:val="0"/>
          <w:sz w:val="28"/>
          <w:szCs w:val="28"/>
        </w:rPr>
      </w:pPr>
      <w:bookmarkStart w:id="13" w:name="_Toc532459043"/>
      <w:bookmarkStart w:id="14" w:name="_Toc533757366"/>
      <w:r>
        <w:rPr>
          <w:rFonts w:hint="eastAsia" w:ascii="黑体" w:hAnsi="黑体"/>
          <w:b w:val="0"/>
          <w:bCs w:val="0"/>
          <w:snapToGrid w:val="0"/>
          <w:sz w:val="28"/>
          <w:szCs w:val="28"/>
        </w:rPr>
        <w:t>3.1</w:t>
      </w:r>
      <w:r>
        <w:rPr>
          <w:rFonts w:hint="eastAsia" w:ascii="黑体" w:hAnsi="黑体"/>
          <w:b w:val="0"/>
          <w:bCs w:val="0"/>
          <w:snapToGrid w:val="0"/>
          <w:sz w:val="28"/>
          <w:szCs w:val="28"/>
        </w:rPr>
        <w:t>教师队伍基本情况</w:t>
      </w:r>
      <w:bookmarkEnd w:id="13"/>
      <w:bookmarkEnd w:id="14"/>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napToGrid w:val="0"/>
          <w:sz w:val="24"/>
        </w:rPr>
      </w:pPr>
      <w:r>
        <w:rPr>
          <w:rFonts w:hint="eastAsia" w:asciiTheme="minorEastAsia" w:hAnsiTheme="minorEastAsia" w:eastAsiaTheme="minorEastAsia" w:cstheme="minorEastAsia"/>
          <w:snapToGrid w:val="0"/>
          <w:sz w:val="24"/>
        </w:rPr>
        <w:t>材料科学与工程专业建设了一支稳定的、富有活力及开拓创新精神的专业师资队伍，配备专任教师11人，实验教师4人，其中教授2人，高级工程师（副高）2人，双师型教师2人，双能型教师2人，专任教师中具有博士学位专任教师占人数比例90.9%；材料专业 “享受国家特殊津贴”教授1人、特聘百人计划1人（石京教授，辛辛那提大学），柔性引进人才1人（郭岩研究员，西安热工研究院有限公司）。在所有编制教师中，年龄45岁以下教师有12人，分别来自于西安交通大学、西北工业大学、南京理工大学、哈尔滨工程大学、西安理工大学、西安建筑科技大学等高校，师资队伍年龄、学历、职称、专业背景结构合理（如图1、图2、图3），专任教师与实验教师专业背景与材料专业紧密相关，数量和质量上很好地满足教学需要。教师队伍建设及发展规划制定及实施的依据是《普通高等学校本科专业类教学质量国家标准》和学校人才培养定位及学科专业发展需要。教师队伍建设目前的任务是科学有效、系统深入地进行材料转专业课程建设，撰写好课堂教学设计方案或课程讲义，实现专业、学科之间科学有效衔接及转型。材料专业新引进“百人计划”兼职教授1名。该教授为美国北达科他州立大学终身教授，具有机械、材料双博士学位，该教授在先进节能高效制造技术以及再生能源方面均有较高的学术造诣。石教授的加入为本专业注入新的活力。本专业选派5名青年教师前往兄弟院校进行教学及科研有关的培训工作：1名教师前往“辛辛那提大学”进行访学，1名教师继续“博士后”深造，3名教师前往厦门大学、东南大学进行教学技能培训，成效显著，有力提高了材料专业教师的综合素质和教学科研水平。3名教师先后前往“西安陕鼓动力股份有限公司”和“</w:t>
      </w:r>
      <w:r>
        <w:rPr>
          <w:rFonts w:hint="eastAsia" w:asciiTheme="minorEastAsia" w:hAnsiTheme="minorEastAsia" w:eastAsiaTheme="minorEastAsia" w:cstheme="minorEastAsia"/>
          <w:sz w:val="24"/>
        </w:rPr>
        <w:t>西安精一有限公司</w:t>
      </w:r>
      <w:r>
        <w:rPr>
          <w:rFonts w:hint="eastAsia" w:asciiTheme="minorEastAsia" w:hAnsiTheme="minorEastAsia" w:eastAsiaTheme="minorEastAsia" w:cstheme="minorEastAsia"/>
          <w:snapToGrid w:val="0"/>
          <w:sz w:val="24"/>
        </w:rPr>
        <w:t>”进行双师型教师在职学习，其中2名以获得“双师型”教师称号。</w:t>
      </w:r>
    </w:p>
    <w:p>
      <w:pPr>
        <w:spacing w:line="240" w:lineRule="atLeast"/>
        <w:rPr>
          <w:rFonts w:hAnsi="宋体"/>
          <w:snapToGrid w:val="0"/>
          <w:sz w:val="24"/>
        </w:rPr>
      </w:pPr>
      <w:r>
        <w:rPr>
          <w:rFonts w:hint="eastAsia" w:hAnsi="宋体"/>
          <w:sz w:val="24"/>
        </w:rPr>
        <w:drawing>
          <wp:inline distT="0" distB="0" distL="0" distR="0">
            <wp:extent cx="1701165" cy="1217295"/>
            <wp:effectExtent l="0" t="0" r="0" b="1905"/>
            <wp:docPr id="1" name="图片 1" descr="C:\Users\sony\AppData\Local\Microsoft\Windows\INetCache\Content.Word\年龄.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sony\AppData\Local\Microsoft\Windows\INetCache\Content.Word\年龄.tif"/>
                    <pic:cNvPicPr>
                      <a:picLocks noChangeAspect="1" noChangeArrowheads="1"/>
                    </pic:cNvPicPr>
                  </pic:nvPicPr>
                  <pic:blipFill>
                    <a:blip r:embed="rId5">
                      <a:extLst>
                        <a:ext uri="{28A0092B-C50C-407E-A947-70E740481C1C}">
                          <a14:useLocalDpi xmlns:a14="http://schemas.microsoft.com/office/drawing/2010/main" val="0"/>
                        </a:ext>
                      </a:extLst>
                    </a:blip>
                    <a:srcRect l="8547" t="10473" r="13247" b="8828"/>
                    <a:stretch>
                      <a:fillRect/>
                    </a:stretch>
                  </pic:blipFill>
                  <pic:spPr>
                    <a:xfrm>
                      <a:off x="0" y="0"/>
                      <a:ext cx="1702871" cy="1218762"/>
                    </a:xfrm>
                    <a:prstGeom prst="rect">
                      <a:avLst/>
                    </a:prstGeom>
                    <a:noFill/>
                    <a:ln>
                      <a:noFill/>
                    </a:ln>
                  </pic:spPr>
                </pic:pic>
              </a:graphicData>
            </a:graphic>
          </wp:inline>
        </w:drawing>
      </w:r>
      <w:r>
        <w:rPr>
          <w:rFonts w:hAnsi="宋体"/>
          <w:sz w:val="24"/>
        </w:rPr>
        <w:drawing>
          <wp:inline distT="0" distB="0" distL="0" distR="0">
            <wp:extent cx="1819275" cy="1296035"/>
            <wp:effectExtent l="0" t="0" r="9525" b="0"/>
            <wp:docPr id="4" name="图片 4" descr="F:\文理\教学\材料\专业发展\教育厅检查\2019 教育厅检查材料\学位图.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文理\教学\材料\专业发展\教育厅检查\2019 教育厅检查材料\学位图.tif"/>
                    <pic:cNvPicPr>
                      <a:picLocks noChangeAspect="1" noChangeArrowheads="1"/>
                    </pic:cNvPicPr>
                  </pic:nvPicPr>
                  <pic:blipFill>
                    <a:blip r:embed="rId6">
                      <a:extLst>
                        <a:ext uri="{28A0092B-C50C-407E-A947-70E740481C1C}">
                          <a14:useLocalDpi xmlns:a14="http://schemas.microsoft.com/office/drawing/2010/main" val="0"/>
                        </a:ext>
                      </a:extLst>
                    </a:blip>
                    <a:srcRect l="6904" t="10789" r="13121" b="7054"/>
                    <a:stretch>
                      <a:fillRect/>
                    </a:stretch>
                  </pic:blipFill>
                  <pic:spPr>
                    <a:xfrm>
                      <a:off x="0" y="0"/>
                      <a:ext cx="1820230" cy="1296422"/>
                    </a:xfrm>
                    <a:prstGeom prst="rect">
                      <a:avLst/>
                    </a:prstGeom>
                    <a:noFill/>
                    <a:ln>
                      <a:noFill/>
                    </a:ln>
                  </pic:spPr>
                </pic:pic>
              </a:graphicData>
            </a:graphic>
          </wp:inline>
        </w:drawing>
      </w:r>
      <w:r>
        <w:drawing>
          <wp:inline distT="0" distB="0" distL="0" distR="0">
            <wp:extent cx="1652270" cy="1240155"/>
            <wp:effectExtent l="0" t="0" r="5080" b="0"/>
            <wp:docPr id="3" name="图片 3" descr="职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职称"/>
                    <pic:cNvPicPr>
                      <a:picLocks noChangeAspect="1" noChangeArrowheads="1"/>
                    </pic:cNvPicPr>
                  </pic:nvPicPr>
                  <pic:blipFill>
                    <a:blip r:embed="rId7">
                      <a:extLst>
                        <a:ext uri="{28A0092B-C50C-407E-A947-70E740481C1C}">
                          <a14:useLocalDpi xmlns:a14="http://schemas.microsoft.com/office/drawing/2010/main" val="0"/>
                        </a:ext>
                      </a:extLst>
                    </a:blip>
                    <a:srcRect l="9351" t="7736" r="11708" b="7089"/>
                    <a:stretch>
                      <a:fillRect/>
                    </a:stretch>
                  </pic:blipFill>
                  <pic:spPr>
                    <a:xfrm>
                      <a:off x="0" y="0"/>
                      <a:ext cx="1660043" cy="1246212"/>
                    </a:xfrm>
                    <a:prstGeom prst="rect">
                      <a:avLst/>
                    </a:prstGeom>
                    <a:noFill/>
                    <a:ln>
                      <a:noFill/>
                    </a:ln>
                  </pic:spPr>
                </pic:pic>
              </a:graphicData>
            </a:graphic>
          </wp:inline>
        </w:drawing>
      </w:r>
    </w:p>
    <w:p>
      <w:pPr>
        <w:spacing w:line="240" w:lineRule="atLeast"/>
        <w:ind w:firstLine="420" w:firstLineChars="200"/>
        <w:jc w:val="left"/>
        <w:rPr>
          <w:rFonts w:hAnsi="宋体"/>
          <w:snapToGrid w:val="0"/>
          <w:szCs w:val="21"/>
        </w:rPr>
      </w:pPr>
      <w:r>
        <w:rPr>
          <w:rFonts w:hint="eastAsia" w:hAnsi="宋体"/>
          <w:snapToGrid w:val="0"/>
          <w:szCs w:val="21"/>
        </w:rPr>
        <w:t>图1  师资队伍年龄结构  图2  师资队伍职称结构  图3  师资队伍学历结构</w:t>
      </w:r>
    </w:p>
    <w:p>
      <w:pPr>
        <w:pStyle w:val="3"/>
        <w:spacing w:before="0" w:after="0" w:line="240" w:lineRule="auto"/>
        <w:rPr>
          <w:rFonts w:ascii="黑体" w:hAnsi="黑体"/>
          <w:b w:val="0"/>
          <w:bCs w:val="0"/>
          <w:snapToGrid w:val="0"/>
          <w:sz w:val="28"/>
          <w:szCs w:val="28"/>
          <w:highlight w:val="none"/>
        </w:rPr>
      </w:pPr>
      <w:bookmarkStart w:id="15" w:name="_Toc533757367"/>
      <w:bookmarkStart w:id="16" w:name="_Toc532459044"/>
      <w:r>
        <w:rPr>
          <w:rFonts w:ascii="黑体" w:hAnsi="黑体"/>
          <w:b w:val="0"/>
          <w:bCs w:val="0"/>
          <w:snapToGrid w:val="0"/>
          <w:sz w:val="28"/>
          <w:szCs w:val="28"/>
          <w:highlight w:val="none"/>
        </w:rPr>
        <w:t xml:space="preserve">3.2 </w:t>
      </w:r>
      <w:r>
        <w:rPr>
          <w:rFonts w:hint="eastAsia" w:ascii="黑体" w:hAnsi="黑体"/>
          <w:b w:val="0"/>
          <w:bCs w:val="0"/>
          <w:snapToGrid w:val="0"/>
          <w:sz w:val="28"/>
          <w:szCs w:val="28"/>
          <w:highlight w:val="none"/>
        </w:rPr>
        <w:t>教师参与教学研究的情况</w:t>
      </w:r>
      <w:bookmarkEnd w:id="15"/>
      <w:bookmarkEnd w:id="16"/>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napToGrid w:val="0"/>
          <w:sz w:val="24"/>
          <w:szCs w:val="24"/>
        </w:rPr>
      </w:pPr>
      <w:r>
        <w:rPr>
          <w:rFonts w:ascii="宋体" w:hAnsi="宋体"/>
          <w:snapToGrid w:val="0"/>
          <w:sz w:val="24"/>
          <w:szCs w:val="24"/>
        </w:rPr>
        <w:t>本专业教师均为本科生授课，实行课程主讲负责制</w:t>
      </w:r>
      <w:r>
        <w:rPr>
          <w:rFonts w:hint="eastAsia" w:ascii="宋体" w:hAnsi="宋体"/>
          <w:snapToGrid w:val="0"/>
          <w:sz w:val="24"/>
          <w:szCs w:val="24"/>
        </w:rPr>
        <w:t>，</w:t>
      </w:r>
      <w:r>
        <w:rPr>
          <w:rFonts w:ascii="宋体" w:hAnsi="宋体"/>
          <w:snapToGrid w:val="0"/>
          <w:sz w:val="24"/>
          <w:szCs w:val="24"/>
        </w:rPr>
        <w:t>主干课程教学队伍稳定，教学效果良好。教授</w:t>
      </w:r>
      <w:r>
        <w:rPr>
          <w:rFonts w:hint="eastAsia" w:ascii="宋体" w:hAnsi="宋体"/>
          <w:snapToGrid w:val="0"/>
          <w:sz w:val="24"/>
          <w:szCs w:val="24"/>
        </w:rPr>
        <w:t>、</w:t>
      </w:r>
      <w:r>
        <w:rPr>
          <w:rFonts w:ascii="宋体" w:hAnsi="宋体"/>
          <w:snapToGrid w:val="0"/>
          <w:sz w:val="24"/>
          <w:szCs w:val="24"/>
        </w:rPr>
        <w:t>副教授均教授专业核心课</w:t>
      </w:r>
      <w:r>
        <w:rPr>
          <w:rFonts w:hint="eastAsia" w:ascii="宋体" w:hAnsi="宋体"/>
          <w:snapToGrid w:val="0"/>
          <w:sz w:val="24"/>
          <w:szCs w:val="24"/>
        </w:rPr>
        <w:t>，</w:t>
      </w:r>
      <w:r>
        <w:rPr>
          <w:rFonts w:ascii="宋体" w:hAnsi="宋体"/>
          <w:snapToGrid w:val="0"/>
          <w:sz w:val="24"/>
          <w:szCs w:val="24"/>
        </w:rPr>
        <w:t>涵盖了专业核心课</w:t>
      </w:r>
      <w:r>
        <w:rPr>
          <w:rFonts w:hint="eastAsia" w:ascii="宋体" w:hAnsi="宋体"/>
          <w:snapToGrid w:val="0"/>
          <w:sz w:val="24"/>
          <w:szCs w:val="24"/>
        </w:rPr>
        <w:t>、专业</w:t>
      </w:r>
      <w:r>
        <w:rPr>
          <w:rFonts w:ascii="宋体" w:hAnsi="宋体"/>
          <w:snapToGrid w:val="0"/>
          <w:sz w:val="24"/>
          <w:szCs w:val="24"/>
        </w:rPr>
        <w:t>基础课及专业选修课</w:t>
      </w:r>
      <w:r>
        <w:rPr>
          <w:rFonts w:hint="eastAsia" w:ascii="宋体" w:hAnsi="宋体"/>
          <w:snapToGrid w:val="0"/>
          <w:sz w:val="24"/>
          <w:szCs w:val="24"/>
        </w:rPr>
        <w:t>，</w:t>
      </w:r>
      <w:r>
        <w:rPr>
          <w:rFonts w:ascii="宋体" w:hAnsi="宋体"/>
          <w:snapToGrid w:val="0"/>
          <w:sz w:val="24"/>
          <w:szCs w:val="24"/>
        </w:rPr>
        <w:t>专任教师同时承担毕业实习</w:t>
      </w:r>
      <w:r>
        <w:rPr>
          <w:rFonts w:hint="eastAsia" w:ascii="宋体" w:hAnsi="宋体"/>
          <w:snapToGrid w:val="0"/>
          <w:sz w:val="24"/>
          <w:szCs w:val="24"/>
        </w:rPr>
        <w:t>、</w:t>
      </w:r>
      <w:r>
        <w:rPr>
          <w:rFonts w:ascii="宋体" w:hAnsi="宋体"/>
          <w:snapToGrid w:val="0"/>
          <w:sz w:val="24"/>
          <w:szCs w:val="24"/>
        </w:rPr>
        <w:t>毕业论文</w:t>
      </w:r>
      <w:r>
        <w:rPr>
          <w:rFonts w:hint="eastAsia" w:ascii="宋体" w:hAnsi="宋体"/>
          <w:snapToGrid w:val="0"/>
          <w:sz w:val="24"/>
          <w:szCs w:val="24"/>
        </w:rPr>
        <w:t>、</w:t>
      </w:r>
      <w:r>
        <w:rPr>
          <w:rFonts w:ascii="宋体" w:hAnsi="宋体"/>
          <w:snapToGrid w:val="0"/>
          <w:sz w:val="24"/>
          <w:szCs w:val="24"/>
        </w:rPr>
        <w:t>学年论文及实践教学</w:t>
      </w:r>
      <w:r>
        <w:rPr>
          <w:rFonts w:hint="eastAsia" w:ascii="宋体" w:hAnsi="宋体"/>
          <w:snapToGrid w:val="0"/>
          <w:sz w:val="24"/>
          <w:szCs w:val="24"/>
        </w:rPr>
        <w:t>、</w:t>
      </w:r>
      <w:r>
        <w:rPr>
          <w:rFonts w:ascii="宋体" w:hAnsi="宋体"/>
          <w:snapToGrid w:val="0"/>
          <w:sz w:val="24"/>
          <w:szCs w:val="24"/>
        </w:rPr>
        <w:t>创新创业教育等课程教学任务</w:t>
      </w:r>
      <w:r>
        <w:rPr>
          <w:rFonts w:hint="eastAsia" w:ascii="宋体" w:hAnsi="宋体"/>
          <w:snapToGrid w:val="0"/>
          <w:sz w:val="24"/>
          <w:szCs w:val="24"/>
        </w:rPr>
        <w:t>。</w:t>
      </w:r>
      <w:r>
        <w:rPr>
          <w:rFonts w:ascii="宋体" w:hAnsi="宋体"/>
          <w:snapToGrid w:val="0"/>
          <w:sz w:val="24"/>
          <w:szCs w:val="24"/>
        </w:rPr>
        <w:t>兼职教授每年具有定量工作时间，以</w:t>
      </w:r>
      <w:r>
        <w:rPr>
          <w:rFonts w:hint="eastAsia" w:ascii="宋体" w:hAnsi="宋体"/>
          <w:snapToGrid w:val="0"/>
          <w:sz w:val="24"/>
          <w:szCs w:val="24"/>
        </w:rPr>
        <w:t>讲座</w:t>
      </w:r>
      <w:r>
        <w:rPr>
          <w:rFonts w:ascii="宋体" w:hAnsi="宋体"/>
          <w:snapToGrid w:val="0"/>
          <w:sz w:val="24"/>
          <w:szCs w:val="24"/>
        </w:rPr>
        <w:t>形式为学生传授理论或科研前沿知识，扩展学生知识面。工作量饱满</w:t>
      </w:r>
      <w:r>
        <w:rPr>
          <w:rFonts w:hint="eastAsia" w:ascii="宋体" w:hAnsi="宋体"/>
          <w:snapToGrid w:val="0"/>
          <w:sz w:val="24"/>
          <w:szCs w:val="24"/>
        </w:rPr>
        <w:t>，</w:t>
      </w:r>
      <w:r>
        <w:rPr>
          <w:rFonts w:ascii="宋体" w:hAnsi="宋体"/>
          <w:snapToGrid w:val="0"/>
          <w:sz w:val="24"/>
          <w:szCs w:val="24"/>
        </w:rPr>
        <w:t>业务精湛</w:t>
      </w:r>
      <w:r>
        <w:rPr>
          <w:rFonts w:hint="eastAsia" w:ascii="宋体" w:hAnsi="宋体"/>
          <w:snapToGrid w:val="0"/>
          <w:sz w:val="24"/>
          <w:szCs w:val="24"/>
        </w:rPr>
        <w:t>，</w:t>
      </w:r>
      <w:r>
        <w:rPr>
          <w:rFonts w:ascii="宋体" w:hAnsi="宋体"/>
          <w:snapToGrid w:val="0"/>
          <w:sz w:val="24"/>
          <w:szCs w:val="24"/>
        </w:rPr>
        <w:t>教学效果显著</w:t>
      </w:r>
      <w:r>
        <w:rPr>
          <w:rFonts w:hint="eastAsia" w:ascii="宋体" w:hAnsi="宋体"/>
          <w:snapToGrid w:val="0"/>
          <w:sz w:val="24"/>
          <w:szCs w:val="24"/>
        </w:rPr>
        <w:t>，</w:t>
      </w:r>
      <w:r>
        <w:rPr>
          <w:rFonts w:ascii="宋体" w:hAnsi="宋体"/>
          <w:snapToGrid w:val="0"/>
          <w:sz w:val="24"/>
          <w:szCs w:val="24"/>
        </w:rPr>
        <w:t>能够发挥学科专业建设的核心</w:t>
      </w:r>
      <w:r>
        <w:rPr>
          <w:rFonts w:hint="eastAsia" w:ascii="宋体" w:hAnsi="宋体"/>
          <w:snapToGrid w:val="0"/>
          <w:sz w:val="24"/>
          <w:szCs w:val="24"/>
        </w:rPr>
        <w:t>、</w:t>
      </w:r>
      <w:r>
        <w:rPr>
          <w:rFonts w:ascii="宋体" w:hAnsi="宋体"/>
          <w:snapToGrid w:val="0"/>
          <w:sz w:val="24"/>
          <w:szCs w:val="24"/>
        </w:rPr>
        <w:t>引领和凝聚功能</w:t>
      </w:r>
      <w:r>
        <w:rPr>
          <w:rFonts w:hint="eastAsia" w:ascii="宋体" w:hAnsi="宋体"/>
          <w:snapToGrid w:val="0"/>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napToGrid w:val="0"/>
          <w:sz w:val="24"/>
          <w:szCs w:val="24"/>
        </w:rPr>
      </w:pPr>
      <w:r>
        <w:rPr>
          <w:rFonts w:hint="eastAsia" w:ascii="宋体" w:hAnsi="宋体"/>
          <w:snapToGrid w:val="0"/>
          <w:sz w:val="24"/>
          <w:szCs w:val="24"/>
        </w:rPr>
        <w:t>本专业教学研究与改革指导思想明确，总体思路清晰，围绕专业发展制定教学研究与改革计划，配套措施有力，调动了广大教师开展教学研究与改革的积极性。通过教学研究与改革，本专业教师能够主动更新教育观念，树立新的教育理念，在课程体系、教学内容、教学方法、教学管理等方面均开展了卓有成效的工作，积极申报各类教学研究课题，并结合教学实践深化教学内容、课程体系和教学方法的改革。</w:t>
      </w:r>
      <w:r>
        <w:rPr>
          <w:rFonts w:ascii="宋体" w:hAnsi="宋体"/>
          <w:snapToGrid w:val="0"/>
          <w:sz w:val="24"/>
          <w:szCs w:val="24"/>
        </w:rPr>
        <w:t>201</w:t>
      </w:r>
      <w:r>
        <w:rPr>
          <w:rFonts w:hint="eastAsia" w:ascii="宋体" w:hAnsi="宋体"/>
          <w:snapToGrid w:val="0"/>
          <w:sz w:val="24"/>
          <w:szCs w:val="24"/>
        </w:rPr>
        <w:t>5至</w:t>
      </w:r>
      <w:r>
        <w:rPr>
          <w:rFonts w:ascii="宋体" w:hAnsi="宋体"/>
          <w:snapToGrid w:val="0"/>
          <w:sz w:val="24"/>
          <w:szCs w:val="24"/>
        </w:rPr>
        <w:t>201</w:t>
      </w:r>
      <w:r>
        <w:rPr>
          <w:rFonts w:hint="eastAsia" w:ascii="宋体" w:hAnsi="宋体"/>
          <w:snapToGrid w:val="0"/>
          <w:sz w:val="24"/>
          <w:szCs w:val="24"/>
        </w:rPr>
        <w:t>9年间，本专业教师</w:t>
      </w:r>
      <w:r>
        <w:rPr>
          <w:rFonts w:ascii="宋体" w:hAnsi="宋体"/>
          <w:snapToGrid w:val="0"/>
          <w:sz w:val="24"/>
          <w:szCs w:val="24"/>
        </w:rPr>
        <w:t>在专业教育体系、实践性环节、教学手段和方法等方面开展的研究成果突出，所有开设专业核心课程和部分方向课均实现线上线下教学</w:t>
      </w:r>
      <w:r>
        <w:rPr>
          <w:rFonts w:hint="eastAsia" w:ascii="宋体" w:hAnsi="宋体"/>
          <w:snapToGrid w:val="0"/>
          <w:sz w:val="24"/>
          <w:szCs w:val="24"/>
        </w:rPr>
        <w:t>，</w:t>
      </w:r>
      <w:r>
        <w:rPr>
          <w:rFonts w:ascii="宋体" w:hAnsi="宋体"/>
          <w:snapToGrid w:val="0"/>
          <w:sz w:val="24"/>
          <w:szCs w:val="24"/>
        </w:rPr>
        <w:t>且本专业教师承担校级教学改革项目</w:t>
      </w:r>
      <w:r>
        <w:rPr>
          <w:rFonts w:hint="eastAsia" w:ascii="宋体" w:hAnsi="宋体"/>
          <w:snapToGrid w:val="0"/>
          <w:sz w:val="24"/>
          <w:szCs w:val="24"/>
        </w:rPr>
        <w:t>15项，省级教育教学改革项目1项，承担SPOC课程建设2项，线上线下教学项目2项,2019年申报金课2项。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napToGrid w:val="0"/>
          <w:sz w:val="24"/>
          <w:szCs w:val="24"/>
        </w:rPr>
      </w:pPr>
      <w:r>
        <w:rPr>
          <w:rFonts w:hint="eastAsia" w:ascii="宋体" w:hAnsi="宋体"/>
          <w:snapToGrid w:val="0"/>
          <w:sz w:val="24"/>
          <w:szCs w:val="24"/>
        </w:rPr>
        <w:t>专任教师</w:t>
      </w:r>
      <w:r>
        <w:rPr>
          <w:rFonts w:ascii="宋体" w:hAnsi="宋体"/>
          <w:snapToGrid w:val="0"/>
          <w:sz w:val="24"/>
          <w:szCs w:val="24"/>
        </w:rPr>
        <w:t>中</w:t>
      </w:r>
      <w:r>
        <w:rPr>
          <w:rFonts w:hint="eastAsia" w:ascii="宋体" w:hAnsi="宋体"/>
          <w:snapToGrid w:val="0"/>
          <w:sz w:val="24"/>
          <w:szCs w:val="24"/>
        </w:rPr>
        <w:t>， 荣获校级青年教学技能奖赛一等奖1项、二等奖1项、三等奖1项，获得院级青年教师教学技能竞赛大赛二等奖1项、三等奖3项，这些研究成果有效促进了本专业教学水平与质量的提高。</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hint="eastAsia" w:ascii="黑体" w:hAnsi="黑体"/>
          <w:b w:val="0"/>
          <w:bCs w:val="0"/>
          <w:snapToGrid w:val="0"/>
          <w:sz w:val="28"/>
          <w:szCs w:val="28"/>
        </w:rPr>
      </w:pPr>
      <w:bookmarkStart w:id="17" w:name="_Toc532459045"/>
      <w:bookmarkStart w:id="18" w:name="_Toc533757368"/>
      <w:r>
        <w:rPr>
          <w:rFonts w:hint="eastAsia" w:ascii="黑体" w:hAnsi="黑体"/>
          <w:b w:val="0"/>
          <w:bCs w:val="0"/>
          <w:snapToGrid w:val="0"/>
          <w:sz w:val="28"/>
          <w:szCs w:val="28"/>
        </w:rPr>
        <w:t xml:space="preserve">3.3 </w:t>
      </w:r>
      <w:r>
        <w:rPr>
          <w:rFonts w:hint="eastAsia" w:ascii="黑体" w:hAnsi="黑体"/>
          <w:b w:val="0"/>
          <w:bCs w:val="0"/>
          <w:snapToGrid w:val="0"/>
          <w:sz w:val="28"/>
          <w:szCs w:val="28"/>
        </w:rPr>
        <w:t>专任教师科研状况</w:t>
      </w:r>
      <w:bookmarkEnd w:id="17"/>
      <w:bookmarkEnd w:id="18"/>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snapToGrid w:val="0"/>
          <w:sz w:val="24"/>
        </w:rPr>
      </w:pPr>
      <w:r>
        <w:rPr>
          <w:rFonts w:ascii="宋体" w:hAnsi="宋体"/>
          <w:snapToGrid w:val="0"/>
          <w:sz w:val="24"/>
        </w:rPr>
        <w:t>201</w:t>
      </w:r>
      <w:r>
        <w:rPr>
          <w:rFonts w:hint="eastAsia" w:ascii="宋体" w:hAnsi="宋体"/>
          <w:snapToGrid w:val="0"/>
          <w:sz w:val="24"/>
        </w:rPr>
        <w:t>5年至</w:t>
      </w:r>
      <w:r>
        <w:rPr>
          <w:rFonts w:ascii="宋体" w:hAnsi="宋体"/>
          <w:snapToGrid w:val="0"/>
          <w:sz w:val="24"/>
        </w:rPr>
        <w:t>201</w:t>
      </w:r>
      <w:r>
        <w:rPr>
          <w:rFonts w:hint="eastAsia" w:ascii="宋体" w:hAnsi="宋体"/>
          <w:snapToGrid w:val="0"/>
          <w:sz w:val="24"/>
        </w:rPr>
        <w:t>9年期间，材料科学与工程专业专任教师主持横纵向课题共35项，国家级大创项目2项，省级大创项目6项，参与项目10余项；其中，国家自然科学基金1项，陕西省科技统筹项目1项，陕西省科技攻关项目1项，陕西省人民政府支持项目1项，省部级其他项目1项，陕西省科学自然基金2项，陕西省教育厅项目5项，西安市高校人才服务企业工程项目1项，西安市科技计划11项，横向课题13项，国家级大创项目2项，省级大创项目6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napToGrid w:val="0"/>
          <w:sz w:val="24"/>
        </w:rPr>
      </w:pPr>
      <w:r>
        <w:rPr>
          <w:rFonts w:hint="eastAsia" w:ascii="宋体" w:hAnsi="宋体"/>
          <w:snapToGrid w:val="0"/>
          <w:sz w:val="24"/>
        </w:rPr>
        <w:t>获得西安市科技进步奖一等奖1项，陕西省科学技术奖二等奖1项，陕西高等学校科学技术奖二等奖1项。获得授权专利11项，其中发明专利9项、实用新型专利2项；申报专利15项。发表科研论文30余篇，其中，SCI论文13篇，EI 4篇。</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snapToGrid w:val="0"/>
          <w:sz w:val="24"/>
        </w:rPr>
      </w:pPr>
      <w:r>
        <w:rPr>
          <w:rFonts w:hint="eastAsia" w:ascii="宋体" w:hAnsi="宋体"/>
          <w:snapToGrid w:val="0"/>
          <w:sz w:val="24"/>
        </w:rPr>
        <w:t>专业负责人和专业课教师有较为稳定的科研方向，积极开展科研教学融合研究与实践，有校级以上的教学或科学研究项目及成果，科研促进教学成效较明显。</w:t>
      </w:r>
    </w:p>
    <w:p>
      <w:pPr>
        <w:pStyle w:val="2"/>
        <w:keepNext/>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b w:val="0"/>
          <w:bCs/>
          <w:snapToGrid w:val="0"/>
          <w:sz w:val="30"/>
          <w:szCs w:val="30"/>
        </w:rPr>
      </w:pPr>
      <w:bookmarkStart w:id="19" w:name="_Toc533757369"/>
      <w:bookmarkStart w:id="20" w:name="_Toc532459046"/>
      <w:r>
        <w:rPr>
          <w:rFonts w:hint="eastAsia"/>
          <w:b w:val="0"/>
          <w:bCs/>
          <w:snapToGrid w:val="0"/>
          <w:sz w:val="30"/>
          <w:szCs w:val="30"/>
        </w:rPr>
        <w:t>四、教学基本条件</w:t>
      </w:r>
      <w:bookmarkEnd w:id="19"/>
      <w:bookmarkEnd w:id="20"/>
    </w:p>
    <w:p>
      <w:pPr>
        <w:spacing w:line="400" w:lineRule="exact"/>
        <w:ind w:firstLine="480" w:firstLineChars="200"/>
        <w:rPr>
          <w:rFonts w:ascii="宋体" w:hAnsi="宋体"/>
          <w:snapToGrid w:val="0"/>
          <w:sz w:val="24"/>
        </w:rPr>
      </w:pPr>
      <w:r>
        <w:rPr>
          <w:rFonts w:ascii="宋体" w:hAnsi="宋体"/>
          <w:snapToGrid w:val="0"/>
          <w:sz w:val="24"/>
        </w:rPr>
        <w:t>材料科学与工程专业自成立以来，学校对本专业教学、办学所需经费上有充足的保障。硬件上，作为材料专业的依托学科，陕西省表面工程与再制造重点实验室近四年累计投入</w:t>
      </w:r>
      <w:r>
        <w:rPr>
          <w:rFonts w:hint="eastAsia" w:ascii="宋体" w:hAnsi="宋体"/>
          <w:snapToGrid w:val="0"/>
          <w:sz w:val="24"/>
        </w:rPr>
        <w:t>20</w:t>
      </w:r>
      <w:r>
        <w:rPr>
          <w:rFonts w:ascii="宋体" w:hAnsi="宋体"/>
          <w:snapToGrid w:val="0"/>
          <w:sz w:val="24"/>
        </w:rPr>
        <w:t>00余万元，西安市智能增材制造实验室投入</w:t>
      </w:r>
      <w:r>
        <w:rPr>
          <w:rFonts w:hint="eastAsia" w:ascii="宋体" w:hAnsi="宋体"/>
          <w:snapToGrid w:val="0"/>
          <w:sz w:val="24"/>
        </w:rPr>
        <w:t>2</w:t>
      </w:r>
      <w:r>
        <w:rPr>
          <w:rFonts w:ascii="宋体" w:hAnsi="宋体"/>
          <w:snapToGrid w:val="0"/>
          <w:sz w:val="24"/>
        </w:rPr>
        <w:t>00余万元，专业实验室投入300余万元，实习及产学研基地建设投入32万元。软件上，四年来累计投入教学资源建设费、课程建设费、学生实习费、学科竞赛费、创新创业活动费等共计8</w:t>
      </w:r>
      <w:r>
        <w:rPr>
          <w:rFonts w:hint="eastAsia" w:ascii="宋体" w:hAnsi="宋体"/>
          <w:snapToGrid w:val="0"/>
          <w:sz w:val="24"/>
        </w:rPr>
        <w:t>8</w:t>
      </w:r>
      <w:r>
        <w:rPr>
          <w:rFonts w:ascii="宋体" w:hAnsi="宋体"/>
          <w:snapToGrid w:val="0"/>
          <w:sz w:val="24"/>
        </w:rPr>
        <w:t>万余元。</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hint="eastAsia" w:ascii="黑体" w:hAnsi="黑体"/>
          <w:b w:val="0"/>
          <w:bCs w:val="0"/>
          <w:snapToGrid w:val="0"/>
          <w:sz w:val="28"/>
          <w:szCs w:val="28"/>
        </w:rPr>
      </w:pPr>
      <w:bookmarkStart w:id="21" w:name="_Toc532459047"/>
      <w:bookmarkStart w:id="22" w:name="_Toc533757370"/>
      <w:r>
        <w:rPr>
          <w:rFonts w:hint="eastAsia" w:ascii="黑体" w:hAnsi="黑体"/>
          <w:b w:val="0"/>
          <w:bCs w:val="0"/>
          <w:snapToGrid w:val="0"/>
          <w:sz w:val="28"/>
          <w:szCs w:val="28"/>
        </w:rPr>
        <w:t>4.1实验教学条件</w:t>
      </w:r>
      <w:bookmarkEnd w:id="21"/>
      <w:bookmarkEnd w:id="22"/>
    </w:p>
    <w:p>
      <w:pPr>
        <w:spacing w:line="400" w:lineRule="exact"/>
        <w:ind w:firstLine="480" w:firstLineChars="200"/>
        <w:rPr>
          <w:rFonts w:ascii="宋体" w:hAnsi="宋体"/>
          <w:snapToGrid w:val="0"/>
          <w:sz w:val="24"/>
        </w:rPr>
      </w:pPr>
      <w:r>
        <w:rPr>
          <w:rFonts w:hint="eastAsia" w:ascii="宋体" w:hAnsi="宋体"/>
          <w:snapToGrid w:val="0"/>
          <w:sz w:val="24"/>
        </w:rPr>
        <w:t>1.</w:t>
      </w:r>
      <w:r>
        <w:rPr>
          <w:rFonts w:ascii="宋体" w:hAnsi="宋体"/>
          <w:snapToGrid w:val="0"/>
          <w:sz w:val="24"/>
        </w:rPr>
        <w:t>材料专业依托陕西省表面工程与再制造重点实验室，成立了西安市增材制造重点实验室</w:t>
      </w:r>
      <w:r>
        <w:rPr>
          <w:rFonts w:hint="eastAsia" w:ascii="宋体" w:hAnsi="宋体"/>
          <w:snapToGrid w:val="0"/>
          <w:sz w:val="24"/>
        </w:rPr>
        <w:t>。</w:t>
      </w:r>
      <w:r>
        <w:rPr>
          <w:rFonts w:ascii="宋体" w:hAnsi="宋体"/>
          <w:snapToGrid w:val="0"/>
          <w:sz w:val="24"/>
        </w:rPr>
        <w:t>学院积极围绕材料专业建设需要构建专业性实验室，已成立材料专业实验室4个，在建专业实验室2个、实训室1个。实验室面积达2</w:t>
      </w:r>
      <w:r>
        <w:rPr>
          <w:rFonts w:hint="eastAsia" w:ascii="宋体" w:hAnsi="宋体"/>
          <w:snapToGrid w:val="0"/>
          <w:sz w:val="24"/>
        </w:rPr>
        <w:t>1</w:t>
      </w:r>
      <w:r>
        <w:rPr>
          <w:rFonts w:ascii="宋体" w:hAnsi="宋体"/>
          <w:snapToGrid w:val="0"/>
          <w:sz w:val="24"/>
        </w:rPr>
        <w:t>60平米，设备13</w:t>
      </w:r>
      <w:r>
        <w:rPr>
          <w:rFonts w:hint="eastAsia" w:ascii="宋体" w:hAnsi="宋体"/>
          <w:snapToGrid w:val="0"/>
          <w:sz w:val="24"/>
        </w:rPr>
        <w:t>4</w:t>
      </w:r>
      <w:r>
        <w:rPr>
          <w:rFonts w:ascii="宋体" w:hAnsi="宋体"/>
          <w:snapToGrid w:val="0"/>
          <w:sz w:val="24"/>
        </w:rPr>
        <w:t>余台，设备总资产</w:t>
      </w:r>
      <w:r>
        <w:rPr>
          <w:rFonts w:hint="eastAsia" w:ascii="宋体" w:hAnsi="宋体"/>
          <w:snapToGrid w:val="0"/>
          <w:sz w:val="24"/>
        </w:rPr>
        <w:t>20</w:t>
      </w:r>
      <w:r>
        <w:rPr>
          <w:rFonts w:ascii="宋体" w:hAnsi="宋体"/>
          <w:snapToGrid w:val="0"/>
          <w:sz w:val="24"/>
        </w:rPr>
        <w:t>00余万元。专业课程、实验开出率可99%以上，可以满足该专业对于实验实践、课程设计和毕业设计的使用要求。</w:t>
      </w:r>
    </w:p>
    <w:p>
      <w:pPr>
        <w:spacing w:line="400" w:lineRule="exact"/>
        <w:ind w:firstLine="480" w:firstLineChars="200"/>
        <w:rPr>
          <w:rFonts w:hint="eastAsia" w:ascii="宋体" w:hAnsi="宋体"/>
          <w:snapToGrid w:val="0"/>
          <w:sz w:val="24"/>
        </w:rPr>
      </w:pPr>
      <w:r>
        <w:rPr>
          <w:rFonts w:hint="eastAsia" w:ascii="宋体" w:hAnsi="宋体"/>
          <w:snapToGrid w:val="0"/>
          <w:sz w:val="24"/>
        </w:rPr>
        <w:t>2.</w:t>
      </w:r>
      <w:r>
        <w:rPr>
          <w:rFonts w:ascii="宋体" w:hAnsi="宋体"/>
          <w:snapToGrid w:val="0"/>
          <w:sz w:val="24"/>
        </w:rPr>
        <w:t>建设了能够满足专业教学需要的专业实验室</w:t>
      </w:r>
      <w:r>
        <w:rPr>
          <w:rFonts w:hint="eastAsia" w:ascii="宋体" w:hAnsi="宋体"/>
          <w:snapToGrid w:val="0"/>
          <w:sz w:val="24"/>
        </w:rPr>
        <w:t>，实验设备及台套数初步能保证专业教学需要。包括材料综合性能测试实验室、金相实验室、摩擦磨损实验室、增材制造实验室等已投入使用，满足了专业教学及人才培养的需要。</w:t>
      </w:r>
    </w:p>
    <w:p>
      <w:pPr>
        <w:spacing w:line="400" w:lineRule="exact"/>
        <w:ind w:firstLine="480" w:firstLineChars="200"/>
        <w:rPr>
          <w:rFonts w:hint="eastAsia" w:ascii="宋体" w:hAnsi="宋体"/>
          <w:snapToGrid w:val="0"/>
          <w:sz w:val="24"/>
        </w:rPr>
      </w:pPr>
      <w:r>
        <w:rPr>
          <w:rFonts w:hint="eastAsia" w:ascii="宋体" w:hAnsi="宋体"/>
          <w:snapToGrid w:val="0"/>
          <w:sz w:val="24"/>
        </w:rPr>
        <w:t>实验室建设在专业发展中起着重要作用。材料专业作为典型的工科专业，培养的学生除了具有扎实的理论基础和宽广的知识面外，还需具有较强的动手能力以及与实际应用相结合的能力。因此，在学生理论课堂上获取扎实的基础知识同时，加强实验室建设，保障学生动手实验能力的培养。材料专业教研室成员在学院领导的带领下，组织并进行了充分的调研，制定了实验室建设规划。</w:t>
      </w:r>
    </w:p>
    <w:p>
      <w:pPr>
        <w:spacing w:line="400" w:lineRule="exact"/>
        <w:ind w:firstLine="480" w:firstLineChars="200"/>
        <w:rPr>
          <w:rFonts w:hint="eastAsia" w:ascii="宋体" w:hAnsi="宋体"/>
          <w:snapToGrid w:val="0"/>
          <w:sz w:val="24"/>
        </w:rPr>
      </w:pPr>
      <w:r>
        <w:rPr>
          <w:rFonts w:hint="eastAsia" w:ascii="宋体" w:hAnsi="宋体"/>
          <w:snapToGrid w:val="0"/>
          <w:sz w:val="24"/>
        </w:rPr>
        <w:t>目前，本专业结合学校学科建设规划，已构建了表面工程与再制造省级重点实验室、材料综合性能测试实验室、金相实验室、摩擦磨损实验室、增材制造实验室、材料分析与测试实验室，包括：激光熔覆设备1台、3D打印12台（金属、树脂、桌面级）、微弧氧化2台、多弧离子镀膜机1台、X射线应力测试仪1台、FEI扫描电镜1台、摩擦磨损机（4台）、金相制样设备3套、显微镜23台、硬度测试仪5台、球痕仪1台、热处理炉5台等。</w:t>
      </w:r>
    </w:p>
    <w:p>
      <w:pPr>
        <w:spacing w:line="400" w:lineRule="exact"/>
        <w:ind w:firstLine="480" w:firstLineChars="200"/>
        <w:rPr>
          <w:rFonts w:hint="eastAsia" w:ascii="宋体" w:hAnsi="宋体"/>
          <w:snapToGrid w:val="0"/>
          <w:sz w:val="24"/>
        </w:rPr>
      </w:pPr>
      <w:r>
        <w:rPr>
          <w:rFonts w:hint="eastAsia" w:ascii="宋体" w:hAnsi="宋体"/>
          <w:snapToGrid w:val="0"/>
          <w:sz w:val="24"/>
        </w:rPr>
        <w:t>依照专业培养目标，以专业基础课实验教学为主，兼顾专业课实验的需要，结合专业方向，注重专业原理，加强设计性和综合性实验，突出应用型人才培养目标，所具备的实验室条件不够充足，需进一步加强。</w:t>
      </w:r>
    </w:p>
    <w:p>
      <w:pPr>
        <w:spacing w:line="400" w:lineRule="exact"/>
        <w:ind w:firstLine="480" w:firstLineChars="200"/>
        <w:rPr>
          <w:rFonts w:hint="eastAsia" w:ascii="宋体" w:hAnsi="宋体"/>
          <w:snapToGrid w:val="0"/>
          <w:sz w:val="24"/>
        </w:rPr>
      </w:pPr>
      <w:r>
        <w:rPr>
          <w:rFonts w:hint="eastAsia" w:ascii="宋体" w:hAnsi="宋体"/>
          <w:snapToGrid w:val="0"/>
          <w:sz w:val="24"/>
        </w:rPr>
        <w:t>以课程综合型实验为核心，培养学生基础应用能力；以校企合作为途径，培养工程实践能力；以学科竞赛和科研实践为手段，培养创新实践能力；大力推进省计算机实验教学示范中心的各项工作。通过各种途径建立与地方经济社会发展互动的实训中心，为学生提供良好的实践环境。</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ascii="黑体" w:hAnsi="黑体"/>
          <w:b w:val="0"/>
          <w:bCs w:val="0"/>
          <w:snapToGrid w:val="0"/>
          <w:sz w:val="28"/>
          <w:szCs w:val="28"/>
        </w:rPr>
      </w:pPr>
      <w:bookmarkStart w:id="23" w:name="_Toc532459048"/>
      <w:bookmarkStart w:id="24" w:name="_Toc533757371"/>
      <w:r>
        <w:rPr>
          <w:rFonts w:hint="eastAsia" w:ascii="黑体" w:hAnsi="黑体"/>
          <w:b w:val="0"/>
          <w:bCs w:val="0"/>
          <w:snapToGrid w:val="0"/>
          <w:sz w:val="28"/>
          <w:szCs w:val="28"/>
        </w:rPr>
        <w:t>4.2图书资源</w:t>
      </w:r>
      <w:bookmarkEnd w:id="23"/>
      <w:bookmarkEnd w:id="24"/>
    </w:p>
    <w:p>
      <w:pPr>
        <w:spacing w:line="400" w:lineRule="exact"/>
        <w:ind w:firstLine="480" w:firstLineChars="200"/>
        <w:rPr>
          <w:rFonts w:ascii="宋体" w:hAnsi="宋体"/>
          <w:snapToGrid w:val="0"/>
          <w:sz w:val="24"/>
        </w:rPr>
      </w:pPr>
      <w:r>
        <w:rPr>
          <w:rFonts w:hint="eastAsia" w:ascii="宋体" w:hAnsi="宋体"/>
          <w:bCs/>
          <w:snapToGrid w:val="0"/>
          <w:sz w:val="24"/>
        </w:rPr>
        <w:t>学校图书馆现有关材料及机械等工业工程的中文藏书12968册，中文纸质期刊25种，同时设有电子阅览室。学校购进Springer（斯普林格）电子期刊数据库、万方中国学位论文数据库全文数据库等重要数据库；其中有关材料等工业工程中文电子期刊220种，外文电子期刊659种，中文电子图书 7322册，综合数据库15个，文献资料室藏有机械工程类图书、工具书200余册，可以满足材料工程专业学生所需要的资料查询、文献搜索等需要，为材料专业应用型人才培养提供重要保障。</w:t>
      </w:r>
      <w:r>
        <w:rPr>
          <w:rFonts w:hint="eastAsia" w:ascii="宋体" w:hAnsi="宋体"/>
          <w:snapToGrid w:val="0"/>
          <w:sz w:val="24"/>
        </w:rPr>
        <w:t>2019学年图书馆为材料专业购置不同类别的图书达300余册。</w:t>
      </w:r>
    </w:p>
    <w:p>
      <w:pPr>
        <w:spacing w:line="400" w:lineRule="exact"/>
        <w:ind w:firstLine="480" w:firstLineChars="200"/>
        <w:rPr>
          <w:rFonts w:ascii="宋体"/>
          <w:snapToGrid w:val="0"/>
          <w:sz w:val="24"/>
        </w:rPr>
      </w:pPr>
      <w:r>
        <w:rPr>
          <w:rFonts w:hint="eastAsia" w:ascii="宋体" w:hAnsi="宋体"/>
          <w:snapToGrid w:val="0"/>
          <w:sz w:val="24"/>
        </w:rPr>
        <w:t>在教材选用方面，遵循适用、优质、选新为原则，每门课程原则上只选一种教材，教学基本要求相同的课程选用统一教材，教材严格按照学校教材建设及征订文件执行，首选规划教材和优秀教材。</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hint="eastAsia" w:ascii="黑体" w:hAnsi="黑体"/>
          <w:b w:val="0"/>
          <w:bCs w:val="0"/>
          <w:snapToGrid w:val="0"/>
          <w:sz w:val="28"/>
          <w:szCs w:val="28"/>
        </w:rPr>
      </w:pPr>
      <w:bookmarkStart w:id="25" w:name="_Toc532459049"/>
      <w:bookmarkStart w:id="26" w:name="_Toc533757372"/>
      <w:r>
        <w:rPr>
          <w:rFonts w:hint="eastAsia" w:ascii="黑体" w:hAnsi="黑体"/>
          <w:b w:val="0"/>
          <w:bCs w:val="0"/>
          <w:snapToGrid w:val="0"/>
          <w:sz w:val="28"/>
          <w:szCs w:val="28"/>
        </w:rPr>
        <w:t>4.3校外实习实践基地</w:t>
      </w:r>
      <w:bookmarkEnd w:id="25"/>
      <w:bookmarkEnd w:id="26"/>
    </w:p>
    <w:p>
      <w:pPr>
        <w:spacing w:line="400" w:lineRule="exact"/>
        <w:ind w:firstLine="480" w:firstLineChars="200"/>
        <w:rPr>
          <w:rFonts w:ascii="宋体" w:hAnsi="宋体"/>
          <w:snapToGrid w:val="0"/>
          <w:sz w:val="24"/>
        </w:rPr>
      </w:pPr>
      <w:r>
        <w:rPr>
          <w:rFonts w:hint="eastAsia" w:ascii="宋体" w:hAnsi="宋体"/>
          <w:snapToGrid w:val="0"/>
          <w:sz w:val="24"/>
        </w:rPr>
        <w:t>学院及专业重视校外实践教学基地建设，取得了较好的效果。</w:t>
      </w:r>
      <w:r>
        <w:rPr>
          <w:rFonts w:ascii="宋体" w:hAnsi="宋体"/>
          <w:snapToGrid w:val="0"/>
          <w:sz w:val="24"/>
        </w:rPr>
        <w:t>已与</w:t>
      </w:r>
      <w:r>
        <w:rPr>
          <w:rFonts w:hint="eastAsia" w:hAnsi="宋体"/>
          <w:sz w:val="24"/>
        </w:rPr>
        <w:t>陕西天元智能再制造有限公司、西安陕鼓动力股份有限公司、中国洛阳一拖集团、西安建筑科技大学联合工程中心、西安中科中美激光科技有限公司、西安西谷微电子有限公司、陕西华威科技股份有限公司、西安天奥新材料有限公司、强信机械科技有限公司、西安精一有限公司等10家企业建立产学研、实践实习基地，</w:t>
      </w:r>
      <w:r>
        <w:rPr>
          <w:rFonts w:ascii="宋体" w:hAnsi="宋体"/>
          <w:snapToGrid w:val="0"/>
          <w:sz w:val="24"/>
        </w:rPr>
        <w:t>建立了长期教学与科研合作关系，保障生产实习等实践环节顺利进行</w:t>
      </w:r>
      <w:r>
        <w:rPr>
          <w:rFonts w:hint="eastAsia" w:ascii="宋体" w:hAnsi="宋体"/>
          <w:snapToGrid w:val="0"/>
          <w:sz w:val="24"/>
        </w:rPr>
        <w:t>，</w:t>
      </w:r>
      <w:r>
        <w:rPr>
          <w:rFonts w:hint="eastAsia" w:hAnsi="宋体"/>
          <w:sz w:val="24"/>
        </w:rPr>
        <w:t>有力推动师生教学实践实习工作的开展。</w:t>
      </w:r>
    </w:p>
    <w:p>
      <w:pPr>
        <w:spacing w:line="400" w:lineRule="exact"/>
        <w:ind w:firstLine="480" w:firstLineChars="200"/>
        <w:rPr>
          <w:rFonts w:ascii="宋体" w:hAnsi="宋体"/>
          <w:snapToGrid w:val="0"/>
          <w:sz w:val="24"/>
        </w:rPr>
      </w:pPr>
      <w:r>
        <w:rPr>
          <w:rFonts w:hint="eastAsia" w:ascii="宋体" w:hAnsi="宋体"/>
          <w:snapToGrid w:val="0"/>
          <w:sz w:val="24"/>
        </w:rPr>
        <w:t>实践教学基地的签约，旨在为大学生提供一个学习交流、资源共享的平台，使其在步入工作岗位前，能够充分掌握本行业领域的职业技能及技术经验，缩短大学生步入社会适应就业的缓冲时间。</w:t>
      </w:r>
    </w:p>
    <w:p>
      <w:pPr>
        <w:spacing w:line="400" w:lineRule="exact"/>
        <w:ind w:firstLine="480" w:firstLineChars="200"/>
        <w:rPr>
          <w:rFonts w:ascii="宋体" w:hAnsi="宋体"/>
          <w:snapToGrid w:val="0"/>
          <w:sz w:val="24"/>
        </w:rPr>
      </w:pPr>
      <w:r>
        <w:rPr>
          <w:rFonts w:hint="eastAsia" w:ascii="宋体" w:hAnsi="宋体"/>
          <w:snapToGrid w:val="0"/>
          <w:sz w:val="24"/>
        </w:rPr>
        <w:t>目前，本专业积极拓展校企合作，进一步加强校外实训基地建设，不仅使学生学有所用，也为企业的发展提供技术支持，为有效地实现产、学、研融合发展而努力。</w:t>
      </w:r>
    </w:p>
    <w:p>
      <w:pPr>
        <w:pStyle w:val="2"/>
        <w:keepNext/>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b w:val="0"/>
          <w:bCs/>
          <w:snapToGrid w:val="0"/>
          <w:sz w:val="30"/>
          <w:szCs w:val="30"/>
        </w:rPr>
      </w:pPr>
      <w:bookmarkStart w:id="27" w:name="_Toc533757373"/>
      <w:bookmarkStart w:id="28" w:name="_Toc532459050"/>
      <w:r>
        <w:rPr>
          <w:rFonts w:hint="eastAsia"/>
          <w:b w:val="0"/>
          <w:bCs/>
          <w:snapToGrid w:val="0"/>
          <w:sz w:val="30"/>
          <w:szCs w:val="30"/>
        </w:rPr>
        <w:t>五、教学质量保障</w:t>
      </w:r>
      <w:bookmarkEnd w:id="27"/>
      <w:bookmarkEnd w:id="28"/>
    </w:p>
    <w:p>
      <w:pPr>
        <w:spacing w:line="400" w:lineRule="exact"/>
        <w:ind w:firstLine="480" w:firstLineChars="200"/>
        <w:rPr>
          <w:rFonts w:ascii="宋体" w:hAnsi="宋体"/>
          <w:snapToGrid w:val="0"/>
          <w:sz w:val="24"/>
        </w:rPr>
      </w:pPr>
      <w:r>
        <w:rPr>
          <w:rFonts w:hint="eastAsia" w:ascii="宋体" w:hAnsi="宋体"/>
          <w:snapToGrid w:val="0"/>
          <w:sz w:val="24"/>
        </w:rPr>
        <w:t>建立比较完善的教学质量监控制度体系，对教学各个环节的质量监控措施有力，教学秩序、教学质量有保障。</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ascii="黑体" w:hAnsi="黑体"/>
          <w:b w:val="0"/>
          <w:bCs w:val="0"/>
          <w:snapToGrid w:val="0"/>
          <w:sz w:val="28"/>
          <w:szCs w:val="28"/>
        </w:rPr>
      </w:pPr>
      <w:bookmarkStart w:id="29" w:name="_Toc532459051"/>
      <w:bookmarkStart w:id="30" w:name="_Toc533757374"/>
      <w:r>
        <w:rPr>
          <w:rFonts w:ascii="黑体" w:hAnsi="黑体"/>
          <w:b w:val="0"/>
          <w:bCs w:val="0"/>
          <w:snapToGrid w:val="0"/>
          <w:sz w:val="28"/>
          <w:szCs w:val="28"/>
        </w:rPr>
        <w:t xml:space="preserve">5.1 </w:t>
      </w:r>
      <w:r>
        <w:rPr>
          <w:rFonts w:hint="eastAsia" w:ascii="黑体" w:hAnsi="黑体"/>
          <w:b w:val="0"/>
          <w:bCs w:val="0"/>
          <w:snapToGrid w:val="0"/>
          <w:sz w:val="28"/>
          <w:szCs w:val="28"/>
        </w:rPr>
        <w:t>教学规章制度执行</w:t>
      </w:r>
      <w:bookmarkEnd w:id="29"/>
      <w:bookmarkEnd w:id="30"/>
    </w:p>
    <w:p>
      <w:pPr>
        <w:spacing w:line="400" w:lineRule="exact"/>
        <w:ind w:firstLine="480" w:firstLineChars="200"/>
        <w:rPr>
          <w:rFonts w:ascii="宋体" w:hAnsi="宋体"/>
          <w:snapToGrid w:val="0"/>
          <w:sz w:val="24"/>
        </w:rPr>
      </w:pPr>
      <w:r>
        <w:rPr>
          <w:rFonts w:hint="eastAsia" w:ascii="宋体" w:hAnsi="宋体"/>
          <w:snapToGrid w:val="0"/>
          <w:sz w:val="24"/>
        </w:rPr>
        <w:t>教学质量是学校和专业发展的基础。由机械与材料学院建立教学委员会，对专业建立教学质量进行全程指导，监控，加强教学管理，确保教学质量。我们结合实际，因地制宜，全面的制定了一系列的教学管理制度：教学质量办公室工作条例、教育教学督导工作条例、主要教学环节质量标准、课堂教学规范、课堂教学质量监督与评价办法、学生评教制度、全程导师制、关于教授副教授为本课升授课管理办法、教材选用和管理暂行办法、教师听评课制度、课程考核管理办法、教学奖励办法、教学任务安排制度、教学检查制度、听课制度、考试制度、教学质量评估体系、考核制度以及学生论文成绩评定办法等理论教学管理制度，这些制度的实施保证了教学工作合理有序地进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napToGrid w:val="0"/>
          <w:sz w:val="24"/>
        </w:rPr>
      </w:pPr>
      <w:r>
        <w:rPr>
          <w:rFonts w:hint="eastAsia" w:ascii="黑体" w:hAnsi="黑体" w:eastAsia="黑体" w:cs="黑体"/>
          <w:snapToGrid w:val="0"/>
          <w:sz w:val="24"/>
        </w:rPr>
        <w:t>1. 教学任务安排制度</w:t>
      </w:r>
    </w:p>
    <w:p>
      <w:pPr>
        <w:spacing w:line="400" w:lineRule="exact"/>
        <w:ind w:firstLine="480" w:firstLineChars="200"/>
        <w:rPr>
          <w:rFonts w:ascii="宋体" w:hAnsi="宋体"/>
          <w:snapToGrid w:val="0"/>
          <w:sz w:val="24"/>
        </w:rPr>
      </w:pPr>
      <w:r>
        <w:rPr>
          <w:rFonts w:hint="eastAsia" w:ascii="宋体" w:hAnsi="宋体"/>
          <w:snapToGrid w:val="0"/>
          <w:sz w:val="24"/>
        </w:rPr>
        <w:t>在学期初，要求每门课程教师课前认真准备教案，根据教学大纲要求制定具体的教学进度计划，经教研室讨论后实施。在学期中，由教研室主任负责对每门课程进行中期教学检查和评估，发现问题、及时指正。学期中的教学情况检查，促进了教师以提高教学质量为目标的教学工作意识感和责任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napToGrid w:val="0"/>
          <w:sz w:val="24"/>
        </w:rPr>
      </w:pPr>
      <w:r>
        <w:rPr>
          <w:rFonts w:hint="eastAsia" w:ascii="黑体" w:hAnsi="黑体" w:eastAsia="黑体" w:cs="黑体"/>
          <w:snapToGrid w:val="0"/>
          <w:sz w:val="24"/>
        </w:rPr>
        <w:t>2.听评课制度</w:t>
      </w:r>
    </w:p>
    <w:p>
      <w:pPr>
        <w:spacing w:line="400" w:lineRule="exact"/>
        <w:ind w:firstLine="480" w:firstLineChars="200"/>
        <w:rPr>
          <w:rFonts w:ascii="宋体" w:hAnsi="宋体"/>
          <w:snapToGrid w:val="0"/>
          <w:sz w:val="24"/>
        </w:rPr>
      </w:pPr>
      <w:r>
        <w:rPr>
          <w:rFonts w:hint="eastAsia" w:ascii="宋体" w:hAnsi="宋体"/>
          <w:snapToGrid w:val="0"/>
          <w:sz w:val="24"/>
        </w:rPr>
        <w:t>每学期教师相互之间听课</w:t>
      </w:r>
      <w:r>
        <w:rPr>
          <w:rFonts w:ascii="宋体" w:hAnsi="宋体"/>
          <w:snapToGrid w:val="0"/>
          <w:sz w:val="24"/>
        </w:rPr>
        <w:t>6</w:t>
      </w:r>
      <w:r>
        <w:rPr>
          <w:rFonts w:hint="eastAsia" w:ascii="宋体" w:hAnsi="宋体"/>
          <w:snapToGrid w:val="0"/>
          <w:sz w:val="24"/>
        </w:rPr>
        <w:t>节以上，教研室主任听课10节课以上，形成了互相学习、取长补短，不断提高教学水平的良好氛围；每学期召开学生座谈会，进行学生问卷调查，听取学生对任课教师教学情况的反映及要求，将信息反馈给教师，以听促教，促进了教师不断探索教学方法，提高教学效果；学期中，积极与学生交流，找出教师上课存在的问题，促使教师重视课堂，积极学习新的知识，前沿科学，提高教师水平；学期末，通过学生问卷调查对课程教学状况进行调查。在整个教学过程中，请教学督导组对部分教师进行随机听课，了解教师教学情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napToGrid w:val="0"/>
          <w:sz w:val="24"/>
        </w:rPr>
      </w:pPr>
      <w:r>
        <w:rPr>
          <w:rFonts w:hint="eastAsia" w:ascii="黑体" w:hAnsi="黑体" w:eastAsia="黑体" w:cs="黑体"/>
          <w:snapToGrid w:val="0"/>
          <w:sz w:val="24"/>
        </w:rPr>
        <w:t>3.教学质量监控</w:t>
      </w:r>
    </w:p>
    <w:p>
      <w:pPr>
        <w:spacing w:line="400" w:lineRule="exact"/>
        <w:ind w:firstLine="480" w:firstLineChars="200"/>
        <w:rPr>
          <w:rFonts w:ascii="宋体" w:hAnsi="宋体"/>
          <w:snapToGrid w:val="0"/>
          <w:sz w:val="24"/>
        </w:rPr>
      </w:pPr>
      <w:r>
        <w:rPr>
          <w:rFonts w:hint="eastAsia" w:ascii="宋体" w:hAnsi="宋体"/>
          <w:snapToGrid w:val="0"/>
          <w:sz w:val="24"/>
        </w:rPr>
        <w:t>有较完善的教学质量监控体系。该体系由校级学生网上评教、学校教学督察抽查听课评教、院系级学生代表座谈评教和检查人员抽查听课评教组成。考核人员包括学院领导、院教学督导组成员、教务处成员、各系主任、教研室主任，考核方式包括定期检查教学日历、教案、讲稿、学生作业，随堂听课，不定期抽查辅导答疑，召开学生座谈会等，各项检查、考核都要填写量化考核表，期末汇总。过程中检查主要教学环节质量标准是否完善，教学运行过程动态监控活动开展是否正常，并注意发挥教学评估的反馈与改进作用。</w:t>
      </w:r>
    </w:p>
    <w:p>
      <w:pPr>
        <w:spacing w:line="400" w:lineRule="exact"/>
        <w:ind w:firstLine="480" w:firstLineChars="200"/>
        <w:rPr>
          <w:rFonts w:ascii="宋体" w:hAnsi="宋体"/>
          <w:snapToGrid w:val="0"/>
          <w:sz w:val="24"/>
        </w:rPr>
      </w:pPr>
      <w:r>
        <w:rPr>
          <w:rFonts w:hint="eastAsia" w:ascii="宋体" w:hAnsi="宋体"/>
          <w:snapToGrid w:val="0"/>
          <w:sz w:val="24"/>
        </w:rPr>
        <w:t>为进一步提高教师教学质量，每学期展开集中听课，并进行讲课比赛，对优秀教师进行观摩学习，对新教师进行积极帮助，提高教学质量。</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napToGrid w:val="0"/>
          <w:sz w:val="24"/>
        </w:rPr>
      </w:pPr>
      <w:r>
        <w:rPr>
          <w:rFonts w:hint="eastAsia" w:ascii="黑体" w:hAnsi="黑体" w:eastAsia="黑体" w:cs="黑体"/>
          <w:snapToGrid w:val="0"/>
          <w:sz w:val="24"/>
        </w:rPr>
        <w:t>4.教学研讨制度</w:t>
      </w:r>
    </w:p>
    <w:p>
      <w:pPr>
        <w:spacing w:line="400" w:lineRule="exact"/>
        <w:ind w:firstLine="480" w:firstLineChars="200"/>
        <w:rPr>
          <w:rFonts w:ascii="宋体" w:hAnsi="宋体"/>
          <w:snapToGrid w:val="0"/>
          <w:sz w:val="24"/>
        </w:rPr>
      </w:pPr>
      <w:r>
        <w:rPr>
          <w:rFonts w:hint="eastAsia" w:ascii="宋体" w:hAnsi="宋体"/>
          <w:snapToGrid w:val="0"/>
          <w:sz w:val="24"/>
        </w:rPr>
        <w:t>在教研室活动安排中，每学年定期召开10次以上教学研讨活动，对课程建设过程中出现的问题进行充分审视，内容包括介绍课题研究情况、教学情况，交流教学论文、科研论文以及交流改进教学方法，提高教学质量的心得体会等。开展编写和修订各门课程的教学大纲、实验大纲和课程设计大纲工作，经过教研室多次讨论与修订，使课程各类大纲能够满足和指导课程教学的开展。</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ascii="黑体" w:hAnsi="黑体"/>
          <w:b w:val="0"/>
          <w:bCs w:val="0"/>
          <w:snapToGrid w:val="0"/>
          <w:sz w:val="28"/>
          <w:szCs w:val="28"/>
        </w:rPr>
      </w:pPr>
      <w:bookmarkStart w:id="31" w:name="_Toc532459052"/>
      <w:bookmarkStart w:id="32" w:name="_Toc533757375"/>
      <w:r>
        <w:rPr>
          <w:rFonts w:ascii="黑体" w:hAnsi="黑体"/>
          <w:b w:val="0"/>
          <w:bCs w:val="0"/>
          <w:snapToGrid w:val="0"/>
          <w:sz w:val="28"/>
          <w:szCs w:val="28"/>
        </w:rPr>
        <w:t xml:space="preserve">5.2 </w:t>
      </w:r>
      <w:r>
        <w:rPr>
          <w:rFonts w:hint="eastAsia" w:ascii="黑体" w:hAnsi="黑体"/>
          <w:b w:val="0"/>
          <w:bCs w:val="0"/>
          <w:snapToGrid w:val="0"/>
          <w:sz w:val="28"/>
          <w:szCs w:val="28"/>
        </w:rPr>
        <w:t>教学质量评价体系</w:t>
      </w:r>
      <w:bookmarkEnd w:id="31"/>
      <w:bookmarkEnd w:id="32"/>
    </w:p>
    <w:p>
      <w:pPr>
        <w:spacing w:line="400" w:lineRule="exact"/>
        <w:ind w:firstLine="480" w:firstLineChars="200"/>
        <w:rPr>
          <w:rFonts w:ascii="宋体" w:hAnsi="宋体"/>
          <w:snapToGrid w:val="0"/>
          <w:sz w:val="24"/>
        </w:rPr>
      </w:pPr>
      <w:r>
        <w:rPr>
          <w:rFonts w:hint="eastAsia" w:ascii="宋体" w:hAnsi="宋体"/>
          <w:snapToGrid w:val="0"/>
          <w:sz w:val="24"/>
        </w:rPr>
        <w:t>建立了涵盖教学各个环节、多角度的教学质量评价与反馈机制，质量评价措施有力，实施效果良好。该体系由校级学生网上评教、学校教学督察抽查听课评教、院系级学生代表座谈评教和检查人员抽查听课评教组成。各主要教学环节质量标准完善，教学运行过程动态监控活动开展正常，并注意发挥教学评估的反馈与改进作用，效果较好。</w:t>
      </w:r>
    </w:p>
    <w:p>
      <w:pPr>
        <w:spacing w:line="400" w:lineRule="exact"/>
        <w:ind w:firstLine="480" w:firstLineChars="200"/>
        <w:rPr>
          <w:rFonts w:ascii="宋体" w:hAnsi="宋体"/>
          <w:snapToGrid w:val="0"/>
          <w:sz w:val="24"/>
        </w:rPr>
      </w:pPr>
      <w:r>
        <w:rPr>
          <w:rFonts w:hint="eastAsia" w:ascii="宋体" w:hAnsi="宋体"/>
          <w:snapToGrid w:val="0"/>
          <w:sz w:val="24"/>
        </w:rPr>
        <w:t>1.根据专业人才培养定位、培养方案及课程标准，建立教学质量评价体系及标准，同样涉及专业课程教学及人才培养的各个方面与各个环节。包括了：课堂教学质量评价指标体系及标准、毕业论文质量评价指标标准、实验教学质量评价指标体系及标准、第2课堂质量评价指标体系及标准。</w:t>
      </w:r>
    </w:p>
    <w:p>
      <w:pPr>
        <w:spacing w:line="400" w:lineRule="exact"/>
        <w:ind w:firstLine="480" w:firstLineChars="200"/>
        <w:rPr>
          <w:rFonts w:ascii="宋体" w:hAnsi="宋体"/>
          <w:snapToGrid w:val="0"/>
          <w:sz w:val="24"/>
        </w:rPr>
      </w:pPr>
      <w:r>
        <w:rPr>
          <w:rFonts w:hint="eastAsia" w:ascii="宋体" w:hAnsi="宋体"/>
          <w:snapToGrid w:val="0"/>
          <w:sz w:val="24"/>
        </w:rPr>
        <w:t>2.构建并实施了科学、规范、有效、灵活多样教学质量评价途径、方式和方法，包括了专家评议、学生评教、同行听课、网络评教、课程考核、讲课比赛、学科竞赛、论文及实验实习实践审核评估、自评与他评相结合、教研组专题教学质质量评价等形式。</w:t>
      </w:r>
    </w:p>
    <w:p>
      <w:pPr>
        <w:spacing w:line="400" w:lineRule="exact"/>
        <w:ind w:firstLine="480" w:firstLineChars="200"/>
        <w:rPr>
          <w:rFonts w:ascii="宋体" w:hAnsi="宋体"/>
          <w:snapToGrid w:val="0"/>
          <w:sz w:val="24"/>
        </w:rPr>
      </w:pPr>
      <w:r>
        <w:rPr>
          <w:rFonts w:hint="eastAsia" w:ascii="宋体" w:hAnsi="宋体"/>
          <w:snapToGrid w:val="0"/>
          <w:sz w:val="24"/>
        </w:rPr>
        <w:t>3.从教学质量评价的效果来衡量，学生及专家对材料专业的人才培养及教学质量与水平给予了普遍的满意评价和一致肯定，教师教学有内容，学生学习有收获。</w:t>
      </w:r>
    </w:p>
    <w:p>
      <w:pPr>
        <w:spacing w:line="400" w:lineRule="exact"/>
        <w:ind w:firstLine="480" w:firstLineChars="200"/>
        <w:rPr>
          <w:rFonts w:ascii="宋体" w:hAnsi="宋体"/>
          <w:snapToGrid w:val="0"/>
          <w:sz w:val="24"/>
        </w:rPr>
      </w:pPr>
      <w:r>
        <w:rPr>
          <w:rFonts w:hint="eastAsia" w:ascii="宋体" w:hAnsi="宋体"/>
          <w:snapToGrid w:val="0"/>
          <w:sz w:val="24"/>
        </w:rPr>
        <w:t>4.基于教学质量评价的实际情况及结论，在教学的各个方面和各个环节不断科学调整和完善教学内容结构及过程的环节。</w:t>
      </w:r>
    </w:p>
    <w:p>
      <w:pPr>
        <w:spacing w:line="400" w:lineRule="exact"/>
        <w:ind w:firstLine="480" w:firstLineChars="200"/>
        <w:rPr>
          <w:rFonts w:ascii="宋体"/>
          <w:snapToGrid w:val="0"/>
          <w:sz w:val="24"/>
        </w:rPr>
      </w:pPr>
      <w:r>
        <w:rPr>
          <w:rFonts w:hint="eastAsia" w:ascii="宋体" w:hAnsi="宋体"/>
          <w:snapToGrid w:val="0"/>
          <w:sz w:val="24"/>
        </w:rPr>
        <w:t>5.我们在学校教学质量评估中心的教学指令评估组织架构框架内，认真、科学、规范、有效地贯彻执行西安文理学院教学质量建设方针政策和原则要求，确保教学质量的提高与增强。</w:t>
      </w:r>
    </w:p>
    <w:p>
      <w:pPr>
        <w:pStyle w:val="3"/>
        <w:keepNext/>
        <w:keepLines/>
        <w:pageBreakBefore w:val="0"/>
        <w:widowControl w:val="0"/>
        <w:kinsoku/>
        <w:wordWrap/>
        <w:overflowPunct/>
        <w:topLinePunct w:val="0"/>
        <w:autoSpaceDE/>
        <w:autoSpaceDN/>
        <w:bidi w:val="0"/>
        <w:adjustRightInd/>
        <w:snapToGrid w:val="0"/>
        <w:spacing w:before="0" w:after="0" w:line="240" w:lineRule="auto"/>
        <w:textAlignment w:val="auto"/>
        <w:rPr>
          <w:rFonts w:hint="eastAsia" w:ascii="黑体" w:hAnsi="黑体"/>
          <w:b w:val="0"/>
          <w:bCs w:val="0"/>
          <w:snapToGrid w:val="0"/>
          <w:sz w:val="28"/>
          <w:szCs w:val="28"/>
        </w:rPr>
      </w:pPr>
      <w:bookmarkStart w:id="33" w:name="_Toc532459053"/>
      <w:bookmarkStart w:id="34" w:name="_Toc533757376"/>
      <w:r>
        <w:rPr>
          <w:rFonts w:hint="eastAsia" w:ascii="黑体" w:hAnsi="黑体"/>
          <w:b w:val="0"/>
          <w:bCs w:val="0"/>
          <w:snapToGrid w:val="0"/>
          <w:sz w:val="28"/>
          <w:szCs w:val="28"/>
        </w:rPr>
        <w:t>5.3教学质量</w:t>
      </w:r>
      <w:bookmarkEnd w:id="33"/>
      <w:r>
        <w:rPr>
          <w:rFonts w:hint="eastAsia" w:ascii="黑体" w:hAnsi="黑体"/>
          <w:b w:val="0"/>
          <w:bCs w:val="0"/>
          <w:snapToGrid w:val="0"/>
          <w:sz w:val="28"/>
          <w:szCs w:val="28"/>
        </w:rPr>
        <w:t>效果</w:t>
      </w:r>
      <w:bookmarkEnd w:id="34"/>
    </w:p>
    <w:p>
      <w:pPr>
        <w:spacing w:line="400" w:lineRule="exact"/>
        <w:ind w:firstLine="480" w:firstLineChars="200"/>
        <w:rPr>
          <w:rFonts w:ascii="宋体" w:hAnsi="宋体"/>
          <w:snapToGrid w:val="0"/>
          <w:sz w:val="24"/>
        </w:rPr>
      </w:pPr>
      <w:r>
        <w:rPr>
          <w:rFonts w:hint="eastAsia" w:ascii="宋体" w:hAnsi="宋体"/>
          <w:snapToGrid w:val="0"/>
          <w:sz w:val="24"/>
        </w:rPr>
        <w:t>教学质量的提高一方面是教师，另一方面是学生的专业素养。如果学生能对本专业产生热情，将很大程度上提高教师的教学质量。本专业的第一个重要举措是，“百人计划”石京教授定期展开“材料前沿讲座”，提高学生对新科技的兴趣；第二是聘请外校知名教授以科普的形式展开讲座，提高学生的学习热情。</w:t>
      </w:r>
    </w:p>
    <w:p>
      <w:pPr>
        <w:spacing w:line="400" w:lineRule="exact"/>
        <w:ind w:firstLine="480" w:firstLineChars="200"/>
        <w:rPr>
          <w:rFonts w:ascii="宋体" w:hAnsi="宋体"/>
          <w:snapToGrid w:val="0"/>
          <w:sz w:val="24"/>
        </w:rPr>
      </w:pPr>
      <w:r>
        <w:rPr>
          <w:rFonts w:hint="eastAsia" w:ascii="宋体" w:hAnsi="宋体"/>
          <w:snapToGrid w:val="0"/>
          <w:sz w:val="24"/>
        </w:rPr>
        <w:t>为提高同学们的专业素养，本专业还积极展开一下五点措施：第一、积极鼓励学生参与学科竞赛和课外科技实践；第二、举行由学生主讲的《新材料研究进展》论坛，激发同学们对专业知识的兴趣和热情；第三、吸纳学生加入教师科研项目，熟悉专业基本原理，锻炼基本操作技能；第四、鼓励学生和其他专业学生合作，共同参与科技竞赛，创新创业活动，发挥自身专业知识优势外，了解其他专业，促进了学习的兴趣和主动性；第五、鼓励学生提早准备材料专业资格证书考试 ，将课堂教学有的放矢的提高学生专业技能。</w:t>
      </w:r>
    </w:p>
    <w:p>
      <w:pPr>
        <w:spacing w:line="400" w:lineRule="exact"/>
        <w:ind w:firstLine="480" w:firstLineChars="200"/>
        <w:rPr>
          <w:rFonts w:hint="eastAsia" w:hAnsi="宋体"/>
          <w:sz w:val="24"/>
        </w:rPr>
      </w:pPr>
      <w:r>
        <w:rPr>
          <w:rFonts w:hint="eastAsia" w:ascii="宋体"/>
          <w:bCs/>
          <w:snapToGrid w:val="0"/>
          <w:sz w:val="24"/>
        </w:rPr>
        <w:t>学院注重本科生培养质量的提升，强化校企合作、产交融和，加大实践课程所占比例，强化培养学生实践能力，积极引导学生参加挑战杯、金相杯、铸造工艺、3D打印、永冠杯、恩智浦杯等具有全国影响力的学科竞赛。近5年来，学生</w:t>
      </w:r>
      <w:r>
        <w:rPr>
          <w:rFonts w:hint="eastAsia" w:hAnsi="宋体"/>
          <w:sz w:val="24"/>
        </w:rPr>
        <w:t>获得学科竞赛全国特等奖1项、一等奖2项、二等奖3项、三等奖7项，国家级优秀奖8项，省级一等奖2项、二等奖3、三等奖2项，国家级大赛团体二等奖1项、优秀组织奖1项，优秀指导教师1项。组织校级“金相杯”大赛2届。学生主持完成国家级大学生创新创业项目2项、省级项目6项。</w:t>
      </w:r>
    </w:p>
    <w:p>
      <w:pPr>
        <w:spacing w:line="400" w:lineRule="exact"/>
        <w:ind w:firstLine="480" w:firstLineChars="200"/>
        <w:rPr>
          <w:rFonts w:ascii="宋体"/>
          <w:bCs/>
          <w:snapToGrid w:val="0"/>
          <w:sz w:val="24"/>
        </w:rPr>
      </w:pPr>
      <w:r>
        <w:rPr>
          <w:rFonts w:hint="eastAsia" w:ascii="宋体"/>
          <w:bCs/>
          <w:snapToGrid w:val="0"/>
          <w:sz w:val="24"/>
        </w:rPr>
        <w:t>在注重教学与科研相长的同时，学生也积极参加到教师的科研工作中，2016年至今，15/16/17/18/19材料专业140学生中共有70余名学生参与到教师的科研工作和重点实验室的日常维护工作中，并发表C</w:t>
      </w:r>
      <w:r>
        <w:rPr>
          <w:rFonts w:ascii="宋体"/>
          <w:bCs/>
          <w:snapToGrid w:val="0"/>
          <w:sz w:val="24"/>
        </w:rPr>
        <w:t>SCD</w:t>
      </w:r>
      <w:r>
        <w:rPr>
          <w:rFonts w:hint="eastAsia" w:ascii="宋体"/>
          <w:bCs/>
          <w:snapToGrid w:val="0"/>
          <w:sz w:val="24"/>
        </w:rPr>
        <w:t>检索和S</w:t>
      </w:r>
      <w:r>
        <w:rPr>
          <w:rFonts w:ascii="宋体"/>
          <w:bCs/>
          <w:snapToGrid w:val="0"/>
          <w:sz w:val="24"/>
        </w:rPr>
        <w:t>CI</w:t>
      </w:r>
      <w:r>
        <w:rPr>
          <w:rFonts w:hint="eastAsia" w:ascii="宋体"/>
          <w:bCs/>
          <w:snapToGrid w:val="0"/>
          <w:sz w:val="24"/>
        </w:rPr>
        <w:t>检索学术论文7篇，发明专利4项。</w:t>
      </w:r>
    </w:p>
    <w:p>
      <w:pPr>
        <w:pStyle w:val="2"/>
        <w:keepNext/>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b w:val="0"/>
          <w:bCs/>
          <w:snapToGrid w:val="0"/>
          <w:sz w:val="30"/>
          <w:szCs w:val="30"/>
        </w:rPr>
      </w:pPr>
      <w:bookmarkStart w:id="35" w:name="_Toc533757377"/>
      <w:r>
        <w:rPr>
          <w:rFonts w:hint="eastAsia"/>
          <w:b w:val="0"/>
          <w:bCs/>
          <w:snapToGrid w:val="0"/>
          <w:sz w:val="30"/>
          <w:szCs w:val="30"/>
        </w:rPr>
        <w:t>六、基本评价</w:t>
      </w:r>
      <w:bookmarkEnd w:id="35"/>
    </w:p>
    <w:p>
      <w:pPr>
        <w:spacing w:line="400" w:lineRule="exact"/>
        <w:ind w:firstLine="480" w:firstLineChars="200"/>
        <w:rPr>
          <w:rFonts w:ascii="宋体"/>
          <w:snapToGrid w:val="0"/>
          <w:sz w:val="24"/>
        </w:rPr>
      </w:pPr>
      <w:r>
        <w:rPr>
          <w:rFonts w:hint="eastAsia" w:ascii="宋体"/>
          <w:bCs/>
          <w:snapToGrid w:val="0"/>
          <w:sz w:val="24"/>
        </w:rPr>
        <w:t>根据陕西省《申请新增列为学士学位授予权专业评审指标体系》，我专业聘请专家对该专业进行了自评，自评等级为A，符合申报条件。</w:t>
      </w:r>
    </w:p>
    <w:p>
      <w:pPr>
        <w:pStyle w:val="2"/>
        <w:keepNext/>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b w:val="0"/>
          <w:bCs/>
          <w:snapToGrid w:val="0"/>
          <w:sz w:val="30"/>
          <w:szCs w:val="30"/>
        </w:rPr>
      </w:pPr>
      <w:bookmarkStart w:id="36" w:name="_Toc532459054"/>
      <w:bookmarkStart w:id="37" w:name="_Toc533757378"/>
      <w:r>
        <w:rPr>
          <w:rFonts w:hint="eastAsia"/>
          <w:b w:val="0"/>
          <w:bCs/>
          <w:snapToGrid w:val="0"/>
          <w:sz w:val="30"/>
          <w:szCs w:val="30"/>
        </w:rPr>
        <w:t>七、需要解决的问题</w:t>
      </w:r>
      <w:bookmarkEnd w:id="36"/>
      <w:bookmarkEnd w:id="37"/>
    </w:p>
    <w:p>
      <w:pPr>
        <w:pStyle w:val="3"/>
        <w:pageBreakBefore w:val="0"/>
        <w:widowControl w:val="0"/>
        <w:kinsoku/>
        <w:wordWrap/>
        <w:overflowPunct/>
        <w:topLinePunct w:val="0"/>
        <w:autoSpaceDE/>
        <w:autoSpaceDN/>
        <w:bidi w:val="0"/>
        <w:adjustRightInd/>
        <w:snapToGrid w:val="0"/>
        <w:spacing w:before="0" w:after="0" w:line="240" w:lineRule="auto"/>
        <w:textAlignment w:val="auto"/>
        <w:rPr>
          <w:rFonts w:ascii="黑体" w:hAnsi="黑体" w:cs="宋体"/>
          <w:b w:val="0"/>
          <w:bCs w:val="0"/>
          <w:sz w:val="28"/>
          <w:szCs w:val="28"/>
        </w:rPr>
      </w:pPr>
      <w:bookmarkStart w:id="38" w:name="_Toc533757379"/>
      <w:bookmarkStart w:id="39" w:name="_Toc532459055"/>
      <w:r>
        <w:rPr>
          <w:rFonts w:ascii="黑体" w:hAnsi="黑体"/>
          <w:b w:val="0"/>
          <w:bCs w:val="0"/>
          <w:snapToGrid w:val="0"/>
          <w:sz w:val="28"/>
          <w:szCs w:val="28"/>
        </w:rPr>
        <w:t>7.1</w:t>
      </w:r>
      <w:r>
        <w:rPr>
          <w:rFonts w:hint="eastAsia" w:ascii="黑体" w:hAnsi="黑体"/>
          <w:b w:val="0"/>
          <w:bCs w:val="0"/>
          <w:snapToGrid w:val="0"/>
          <w:sz w:val="28"/>
          <w:szCs w:val="28"/>
        </w:rPr>
        <w:t>材料科学与工程专业建设存在的问题</w:t>
      </w:r>
      <w:bookmarkEnd w:id="38"/>
      <w:bookmarkEnd w:id="39"/>
    </w:p>
    <w:p>
      <w:pPr>
        <w:pageBreakBefore w:val="0"/>
        <w:widowControl w:val="0"/>
        <w:kinsoku/>
        <w:wordWrap/>
        <w:overflowPunct/>
        <w:topLinePunct w:val="0"/>
        <w:autoSpaceDE/>
        <w:autoSpaceDN/>
        <w:bidi w:val="0"/>
        <w:adjustRightInd/>
        <w:snapToGrid w:val="0"/>
        <w:spacing w:line="240" w:lineRule="auto"/>
        <w:jc w:val="both"/>
        <w:textAlignment w:val="auto"/>
        <w:rPr>
          <w:rFonts w:hint="eastAsia" w:ascii="黑体" w:hAnsi="黑体" w:eastAsia="黑体" w:cs="黑体"/>
          <w:snapToGrid w:val="0"/>
          <w:sz w:val="24"/>
        </w:rPr>
      </w:pPr>
      <w:r>
        <w:rPr>
          <w:rFonts w:hint="eastAsia" w:ascii="黑体" w:hAnsi="黑体" w:eastAsia="黑体" w:cs="黑体"/>
          <w:snapToGrid w:val="0"/>
          <w:sz w:val="24"/>
          <w:lang w:val="en-US" w:eastAsia="zh-CN"/>
        </w:rPr>
        <w:t>1.</w:t>
      </w:r>
      <w:r>
        <w:rPr>
          <w:rFonts w:hint="eastAsia" w:ascii="黑体" w:hAnsi="黑体" w:eastAsia="黑体" w:cs="黑体"/>
          <w:snapToGrid w:val="0"/>
          <w:sz w:val="24"/>
        </w:rPr>
        <w:t>专业实验室建设需进一步完善</w:t>
      </w:r>
    </w:p>
    <w:p>
      <w:pPr>
        <w:spacing w:line="400" w:lineRule="exact"/>
        <w:ind w:firstLine="480" w:firstLineChars="200"/>
        <w:rPr>
          <w:rFonts w:hint="eastAsia" w:ascii="宋体" w:hAnsi="宋体"/>
          <w:snapToGrid w:val="0"/>
          <w:sz w:val="24"/>
        </w:rPr>
      </w:pPr>
      <w:r>
        <w:rPr>
          <w:rFonts w:hint="eastAsia" w:ascii="宋体" w:hAnsi="宋体"/>
          <w:snapToGrid w:val="0"/>
          <w:sz w:val="24"/>
        </w:rPr>
        <w:t>材料专业依托于陕西省表面工程与再制造重点实验室，15-19年建成材料综合性能测试实验室、金相实验室、摩擦磨损实验室、增材制造实验室等4个实验室，拟扩建金相实验室、改造增材制造实验室为逆向设计与增材制造实训室；拟建设材料无损检测实验室、材料物理性能实验室，亟需解决的问题是增加实验室空间，增加两间实验室安放设备，以期能充分地达到培养方案中的培养目标。实验室建设申请书已提交，亟需学校给予重视解决。</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snapToGrid w:val="0"/>
          <w:sz w:val="24"/>
        </w:rPr>
      </w:pPr>
      <w:r>
        <w:rPr>
          <w:rFonts w:hint="eastAsia" w:ascii="黑体" w:hAnsi="黑体" w:eastAsia="黑体" w:cs="黑体"/>
          <w:snapToGrid w:val="0"/>
          <w:sz w:val="24"/>
          <w:lang w:val="en-US" w:eastAsia="zh-CN"/>
        </w:rPr>
        <w:t>2.</w:t>
      </w:r>
      <w:r>
        <w:rPr>
          <w:rFonts w:hint="eastAsia" w:ascii="黑体" w:hAnsi="黑体" w:eastAsia="黑体" w:cs="黑体"/>
          <w:snapToGrid w:val="0"/>
          <w:sz w:val="24"/>
        </w:rPr>
        <w:t>师资队伍的职称提高</w:t>
      </w:r>
    </w:p>
    <w:p>
      <w:pPr>
        <w:spacing w:line="300" w:lineRule="auto"/>
        <w:ind w:firstLine="480" w:firstLineChars="200"/>
        <w:rPr>
          <w:rFonts w:hint="eastAsia" w:ascii="宋体" w:hAnsi="宋体"/>
          <w:snapToGrid w:val="0"/>
          <w:sz w:val="24"/>
        </w:rPr>
      </w:pPr>
      <w:r>
        <w:rPr>
          <w:rFonts w:hint="eastAsia" w:ascii="宋体" w:hAnsi="宋体"/>
          <w:snapToGrid w:val="0"/>
          <w:sz w:val="24"/>
        </w:rPr>
        <w:t>百年大计，教育为本; 教育大计，教师为本。只有一流的教师队伍才能创造一流的教育业绩，学校才能真正体现满意的教育。师资队伍仍是材料专业建设的关键问题。第一步需要塑造骨干教师队伍，造就拔尖人才；第二步需要与国内外有重大影响的学术带头人建立合作，建成一支整体水平较高，充满活力的适应学校事业发展的师资队伍。</w:t>
      </w:r>
    </w:p>
    <w:p>
      <w:pPr>
        <w:spacing w:line="300" w:lineRule="auto"/>
        <w:ind w:firstLine="482" w:firstLineChars="200"/>
        <w:rPr>
          <w:rFonts w:ascii="宋体" w:hAnsi="宋体"/>
          <w:b/>
          <w:snapToGrid w:val="0"/>
          <w:sz w:val="24"/>
        </w:rPr>
      </w:pPr>
      <w:r>
        <w:rPr>
          <w:rFonts w:hint="eastAsia" w:ascii="宋体" w:hAnsi="宋体"/>
          <w:b/>
          <w:snapToGrid w:val="0"/>
          <w:sz w:val="24"/>
        </w:rPr>
        <w:t>对于新建专业，专业教师的职称问题，亟需解决。专业教师目前已有几个教师满足职称评审条件，但困于一直没有名额，目前专技教师副教授职称比例缺失，请学校予以重视。</w:t>
      </w:r>
    </w:p>
    <w:p>
      <w:pPr>
        <w:spacing w:line="400" w:lineRule="exact"/>
        <w:ind w:firstLine="480" w:firstLineChars="200"/>
        <w:rPr>
          <w:rFonts w:ascii="宋体" w:hAnsi="宋体"/>
          <w:snapToGrid w:val="0"/>
          <w:sz w:val="24"/>
        </w:rPr>
      </w:pPr>
      <w:r>
        <w:rPr>
          <w:rFonts w:hint="eastAsia" w:ascii="宋体" w:hAnsi="宋体"/>
          <w:snapToGrid w:val="0"/>
          <w:sz w:val="24"/>
        </w:rPr>
        <w:t>在知识结构上，本专业教师兼顾机械与材料专业，知识结构相对合理，但是设计到产学融合或者知识应用时，亟需进一步提高。现任教师有关工程实际应用情况大多通过自学，体系不够系统，在实践教学过程中，大部分教师缺乏行业的从业经验，导致实践教学水平不高。故，应进一步加强“双师型”培养。</w:t>
      </w:r>
    </w:p>
    <w:p>
      <w:pPr>
        <w:spacing w:line="240" w:lineRule="auto"/>
        <w:rPr>
          <w:rFonts w:hint="eastAsia" w:ascii="黑体" w:hAnsi="黑体" w:eastAsia="黑体" w:cs="黑体"/>
          <w:snapToGrid w:val="0"/>
          <w:sz w:val="24"/>
          <w:lang w:val="en-US" w:eastAsia="zh-CN"/>
        </w:rPr>
      </w:pPr>
      <w:r>
        <w:rPr>
          <w:rFonts w:hint="eastAsia" w:ascii="黑体" w:hAnsi="黑体" w:eastAsia="黑体" w:cs="黑体"/>
          <w:snapToGrid w:val="0"/>
          <w:sz w:val="24"/>
          <w:lang w:val="en-US" w:eastAsia="zh-CN"/>
        </w:rPr>
        <w:t>3.需进一步重视学生创新能力培养,提高学生学科竞赛能力</w:t>
      </w:r>
    </w:p>
    <w:p>
      <w:pPr>
        <w:spacing w:line="400" w:lineRule="exact"/>
        <w:ind w:firstLine="480" w:firstLineChars="200"/>
        <w:rPr>
          <w:rFonts w:ascii="宋体"/>
          <w:snapToGrid w:val="0"/>
          <w:sz w:val="24"/>
        </w:rPr>
      </w:pPr>
      <w:r>
        <w:rPr>
          <w:rFonts w:hint="eastAsia" w:ascii="宋体"/>
          <w:snapToGrid w:val="0"/>
          <w:sz w:val="24"/>
        </w:rPr>
        <w:t>材料专业学生逐渐展开创新能力培养，开设创新实验室，建立创新基地，鼓励学生参与教师科研，到该实验室开展研究，或者</w:t>
      </w:r>
      <w:r>
        <w:rPr>
          <w:rFonts w:hint="eastAsia" w:ascii="宋体" w:hAnsi="宋体"/>
          <w:snapToGrid w:val="0"/>
          <w:sz w:val="24"/>
        </w:rPr>
        <w:t>鼓励学生和其他专业学生合作，共同参与科技竞赛，创新创业活动，发挥自身专业知识优势。</w:t>
      </w:r>
      <w:r>
        <w:rPr>
          <w:rFonts w:hint="eastAsia" w:ascii="宋体"/>
          <w:snapToGrid w:val="0"/>
          <w:sz w:val="24"/>
        </w:rPr>
        <w:t>专业教师吸收学生参加一些科研工作，提升部分学生的创新能力。以上措施取得了一定的成效，但是需要进一步加强，尤其是学科竞赛和国家级大创项目的提升，鼓励学生撰写论文、专利，提高创新创业能力。</w:t>
      </w:r>
    </w:p>
    <w:p>
      <w:pPr>
        <w:numPr>
          <w:numId w:val="0"/>
        </w:numPr>
        <w:spacing w:line="240" w:lineRule="auto"/>
        <w:rPr>
          <w:rFonts w:hint="eastAsia" w:ascii="黑体" w:hAnsi="黑体" w:eastAsia="黑体" w:cs="黑体"/>
          <w:snapToGrid w:val="0"/>
          <w:sz w:val="24"/>
          <w:lang w:val="en-US" w:eastAsia="zh-CN"/>
        </w:rPr>
      </w:pPr>
      <w:r>
        <w:rPr>
          <w:rFonts w:hint="eastAsia" w:ascii="黑体" w:hAnsi="黑体" w:eastAsia="黑体" w:cs="黑体"/>
          <w:snapToGrid w:val="0"/>
          <w:sz w:val="24"/>
          <w:lang w:val="en-US" w:eastAsia="zh-CN"/>
        </w:rPr>
        <w:t>教育教学改革的成果转化</w:t>
      </w:r>
    </w:p>
    <w:p>
      <w:pPr>
        <w:spacing w:line="300" w:lineRule="auto"/>
        <w:ind w:firstLine="480" w:firstLineChars="200"/>
        <w:rPr>
          <w:rFonts w:ascii="宋体" w:hAnsi="宋体"/>
          <w:snapToGrid w:val="0"/>
          <w:sz w:val="24"/>
        </w:rPr>
      </w:pPr>
      <w:r>
        <w:rPr>
          <w:rFonts w:hint="eastAsia" w:ascii="宋体" w:hAnsi="宋体"/>
          <w:snapToGrid w:val="0"/>
          <w:sz w:val="24"/>
        </w:rPr>
        <w:t>材料专业老师已承担教育教学改革项目18项，在不断的教学改革中取得了明显的教学效果，强调了知识的系统性和应用性，充分调动了学生的主动性和积极性。但是教师的教育教学经验没有及时转化，下一步，需及时加强成功的转化，积极申报教学成果奖，发表教育教学论文。</w:t>
      </w:r>
    </w:p>
    <w:p>
      <w:pPr>
        <w:spacing w:line="300" w:lineRule="auto"/>
        <w:ind w:firstLine="480" w:firstLineChars="200"/>
        <w:rPr>
          <w:rFonts w:ascii="宋体" w:hAnsi="宋体"/>
          <w:snapToGrid w:val="0"/>
          <w:sz w:val="24"/>
        </w:rPr>
      </w:pPr>
      <w:r>
        <w:rPr>
          <w:rFonts w:hint="eastAsia" w:ascii="宋体" w:hAnsi="宋体"/>
          <w:snapToGrid w:val="0"/>
          <w:sz w:val="24"/>
        </w:rPr>
        <w:t>在后续的工作中，需加强教改项目的宣传，增加教改项目申报，申报金课，促进教学成果转化。</w:t>
      </w:r>
    </w:p>
    <w:p>
      <w:pPr>
        <w:spacing w:line="240" w:lineRule="auto"/>
        <w:rPr>
          <w:rFonts w:hint="eastAsia" w:ascii="黑体" w:hAnsi="黑体" w:eastAsia="黑体" w:cs="黑体"/>
          <w:snapToGrid w:val="0"/>
          <w:sz w:val="24"/>
          <w:lang w:val="en-US" w:eastAsia="zh-CN"/>
        </w:rPr>
      </w:pPr>
      <w:r>
        <w:rPr>
          <w:rFonts w:hint="eastAsia" w:ascii="黑体" w:hAnsi="黑体" w:eastAsia="黑体" w:cs="黑体"/>
          <w:snapToGrid w:val="0"/>
          <w:sz w:val="24"/>
          <w:lang w:val="en-US" w:eastAsia="zh-CN"/>
        </w:rPr>
        <w:t>5.人才培养方案需进一步优化</w:t>
      </w:r>
    </w:p>
    <w:p>
      <w:pPr>
        <w:pStyle w:val="89"/>
        <w:spacing w:line="300" w:lineRule="auto"/>
        <w:ind w:firstLine="480"/>
        <w:rPr>
          <w:rFonts w:cs="Times New Roman"/>
          <w:snapToGrid w:val="0"/>
          <w:color w:val="auto"/>
          <w:kern w:val="2"/>
          <w:sz w:val="24"/>
          <w:szCs w:val="24"/>
        </w:rPr>
      </w:pPr>
      <w:r>
        <w:rPr>
          <w:rFonts w:hint="eastAsia" w:cs="Times New Roman"/>
          <w:snapToGrid w:val="0"/>
          <w:color w:val="auto"/>
          <w:kern w:val="2"/>
          <w:sz w:val="24"/>
          <w:szCs w:val="24"/>
        </w:rPr>
        <w:t>材料科学与工程专业定位方向为表面工程与再制造方向，通过15/16/17/18/19四个阶段的培养方案改进，形成了确定的专业定位和培养目标、培养方案，明确本专业毕业生就业领域与性质。按照“学分适度、结构简约、内容精准”的基本思路，合理设置符合学校定位与人才培养目标的公共课程与专业课程，调整课程种类，整合教学内容。克服学科思维定势，围绕毕业要求分解设置课程；删除冗余课程内容，释放学生自主学习空间，安排更多的课外自主学习要求；梳理公共课程，整合专业课程。做到公共基础课适用、学科专业基础课能用、专业核心课管用，体现公共课程服务于专业。注重学生通用能力和专业能力协同培养。</w:t>
      </w:r>
    </w:p>
    <w:p>
      <w:pPr>
        <w:spacing w:line="400" w:lineRule="exact"/>
        <w:ind w:firstLine="480" w:firstLineChars="200"/>
        <w:rPr>
          <w:rFonts w:ascii="宋体"/>
          <w:snapToGrid w:val="0"/>
          <w:sz w:val="24"/>
        </w:rPr>
      </w:pPr>
      <w:r>
        <w:rPr>
          <w:rFonts w:hint="eastAsia" w:ascii="宋体" w:hAnsi="宋体"/>
          <w:snapToGrid w:val="0"/>
          <w:sz w:val="24"/>
        </w:rPr>
        <w:t>但是，在专业方向设置上，与地方经济结合还不够紧密，没有充分体现地方设置经济的人才需求。在实践环节设计上，产学结合度不够突出，部分实践教学环节还有待加强，如综合性、设计性实验项目偏少等。顶岗实习和校企结合的紧密程度还不够，深度合作有待开展，如课程置换、定制班教学等模式有待开展。</w:t>
      </w:r>
    </w:p>
    <w:p>
      <w:pPr>
        <w:spacing w:line="240" w:lineRule="auto"/>
        <w:rPr>
          <w:rFonts w:hint="eastAsia" w:ascii="黑体" w:hAnsi="黑体" w:eastAsia="黑体" w:cs="黑体"/>
          <w:snapToGrid w:val="0"/>
          <w:sz w:val="24"/>
          <w:lang w:val="en-US" w:eastAsia="zh-CN"/>
        </w:rPr>
      </w:pPr>
      <w:r>
        <w:rPr>
          <w:rFonts w:hint="eastAsia" w:ascii="黑体" w:hAnsi="黑体" w:eastAsia="黑体" w:cs="黑体"/>
          <w:snapToGrid w:val="0"/>
          <w:sz w:val="24"/>
          <w:lang w:val="en-US" w:eastAsia="zh-CN"/>
        </w:rPr>
        <w:t>6.图书数据库建设</w:t>
      </w:r>
    </w:p>
    <w:p>
      <w:pPr>
        <w:spacing w:line="400" w:lineRule="exact"/>
        <w:ind w:firstLine="480" w:firstLineChars="200"/>
        <w:rPr>
          <w:rFonts w:ascii="宋体"/>
          <w:snapToGrid w:val="0"/>
          <w:sz w:val="24"/>
        </w:rPr>
      </w:pPr>
      <w:r>
        <w:rPr>
          <w:rFonts w:hint="eastAsia" w:ascii="宋体" w:hAnsi="宋体"/>
          <w:snapToGrid w:val="0"/>
          <w:sz w:val="24"/>
        </w:rPr>
        <w:t>材料科学与工程专业是发展迅速的一个学科，材料的更新换代速度越来越快，因此迫切需要购置含有权威期刊的数据库，以及基础类的图书建设，满足老师学生查阅文献，了解研究趋势，把握研究方向。</w:t>
      </w:r>
    </w:p>
    <w:p>
      <w:pPr>
        <w:pStyle w:val="3"/>
        <w:spacing w:before="0" w:after="0" w:line="240" w:lineRule="auto"/>
        <w:rPr>
          <w:rFonts w:ascii="黑体" w:hAnsi="黑体"/>
          <w:b w:val="0"/>
          <w:bCs w:val="0"/>
          <w:snapToGrid w:val="0"/>
          <w:sz w:val="28"/>
          <w:szCs w:val="28"/>
        </w:rPr>
      </w:pPr>
      <w:bookmarkStart w:id="40" w:name="_Toc532459056"/>
      <w:bookmarkStart w:id="41" w:name="_Toc533757380"/>
      <w:r>
        <w:rPr>
          <w:rFonts w:ascii="黑体" w:hAnsi="黑体"/>
          <w:b w:val="0"/>
          <w:bCs w:val="0"/>
          <w:snapToGrid w:val="0"/>
          <w:sz w:val="28"/>
          <w:szCs w:val="28"/>
        </w:rPr>
        <w:t>7.2</w:t>
      </w:r>
      <w:r>
        <w:rPr>
          <w:rFonts w:hint="eastAsia" w:ascii="黑体" w:hAnsi="黑体"/>
          <w:b w:val="0"/>
          <w:bCs w:val="0"/>
          <w:snapToGrid w:val="0"/>
          <w:sz w:val="28"/>
          <w:szCs w:val="28"/>
        </w:rPr>
        <w:t>提高本专业建设水平的工作思路</w:t>
      </w:r>
      <w:bookmarkEnd w:id="40"/>
      <w:bookmarkEnd w:id="41"/>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snapToGrid w:val="0"/>
          <w:sz w:val="24"/>
          <w:lang w:val="en-US" w:eastAsia="zh-CN"/>
        </w:rPr>
      </w:pPr>
      <w:r>
        <w:rPr>
          <w:rFonts w:hint="eastAsia" w:ascii="黑体" w:hAnsi="黑体" w:eastAsia="黑体" w:cs="黑体"/>
          <w:snapToGrid w:val="0"/>
          <w:sz w:val="24"/>
          <w:lang w:val="en-US" w:eastAsia="zh-CN"/>
        </w:rPr>
        <w:t>1.深化教学改革，突出专业特色</w:t>
      </w:r>
    </w:p>
    <w:p>
      <w:pPr>
        <w:spacing w:line="400" w:lineRule="exact"/>
        <w:ind w:firstLine="480" w:firstLineChars="200"/>
        <w:rPr>
          <w:rFonts w:ascii="宋体" w:hAnsi="宋体"/>
          <w:snapToGrid w:val="0"/>
          <w:sz w:val="24"/>
        </w:rPr>
      </w:pPr>
      <w:r>
        <w:rPr>
          <w:rFonts w:hint="eastAsia" w:ascii="宋体" w:hAnsi="宋体"/>
          <w:snapToGrid w:val="0"/>
          <w:sz w:val="24"/>
        </w:rPr>
        <w:t>深化教学改革，建立健全创新人才培养机制深化人才培养模式改革，以社会需求为导向，培养社会需要的高质量人才。一方面要培养“知识面宽、基础扎实、能力强、素质高”的专门人才，培养终身学习的能力，为适应社会需求奠定良好的基础；同时，也要认真考虑学生就业的需要，适应社会特别是用人单位的急切需求。今后要从两个方面加强本专业人才培养的基础性和适应性，一方面要进一步深化产学融合，增强本专业学生未来的适应能力；另一方面要在高年级加强专业方向的灵活性，增强大学生就业的适应性。更加努力地根据专业定位与社会发展的需求，积极优化专业设置、改革课程体系、提高教育质量。</w:t>
      </w:r>
    </w:p>
    <w:p>
      <w:pPr>
        <w:spacing w:line="400" w:lineRule="exact"/>
        <w:ind w:firstLine="480" w:firstLineChars="200"/>
        <w:rPr>
          <w:rFonts w:ascii="宋体" w:hAnsi="宋体"/>
          <w:snapToGrid w:val="0"/>
          <w:sz w:val="24"/>
        </w:rPr>
      </w:pPr>
      <w:r>
        <w:rPr>
          <w:rFonts w:hint="eastAsia" w:ascii="宋体" w:hAnsi="宋体"/>
          <w:snapToGrid w:val="0"/>
          <w:sz w:val="24"/>
        </w:rPr>
        <w:t>在突出专业特色方面，具体实施如下：</w:t>
      </w:r>
    </w:p>
    <w:p>
      <w:pPr>
        <w:spacing w:line="400" w:lineRule="exact"/>
        <w:ind w:firstLine="480" w:firstLineChars="200"/>
        <w:rPr>
          <w:rFonts w:ascii="宋体" w:hAnsi="宋体"/>
          <w:snapToGrid w:val="0"/>
          <w:sz w:val="24"/>
        </w:rPr>
      </w:pPr>
      <w:r>
        <w:rPr>
          <w:rFonts w:hint="eastAsia" w:ascii="宋体" w:hAnsi="宋体"/>
          <w:snapToGrid w:val="0"/>
          <w:sz w:val="24"/>
        </w:rPr>
        <w:t>（1）加强学科融合</w:t>
      </w:r>
    </w:p>
    <w:p>
      <w:pPr>
        <w:spacing w:line="400" w:lineRule="exact"/>
        <w:ind w:firstLine="480" w:firstLineChars="200"/>
        <w:rPr>
          <w:rFonts w:ascii="宋体" w:hAnsi="宋体"/>
          <w:snapToGrid w:val="0"/>
          <w:sz w:val="24"/>
        </w:rPr>
      </w:pPr>
      <w:r>
        <w:rPr>
          <w:rFonts w:hint="eastAsia" w:ascii="宋体" w:hAnsi="宋体"/>
          <w:snapToGrid w:val="0"/>
          <w:sz w:val="24"/>
        </w:rPr>
        <w:t>再制造与表面工程是一个具有交叉性特征的专业，它培养的是综合应用型人才。因此，在专业方向定位上，要强调再制造技术与表面技术的融合，要将独立的二者改变为水乳交融</w:t>
      </w:r>
      <w:r>
        <w:rPr>
          <w:rFonts w:hint="eastAsia" w:ascii="宋体"/>
          <w:snapToGrid w:val="0"/>
          <w:sz w:val="24"/>
        </w:rPr>
        <w:t>状态</w:t>
      </w:r>
      <w:r>
        <w:rPr>
          <w:rFonts w:hint="eastAsia" w:ascii="宋体" w:hAnsi="宋体"/>
          <w:snapToGrid w:val="0"/>
          <w:sz w:val="24"/>
        </w:rPr>
        <w:t>。</w:t>
      </w:r>
    </w:p>
    <w:p>
      <w:pPr>
        <w:spacing w:line="400" w:lineRule="exact"/>
        <w:ind w:firstLine="480" w:firstLineChars="200"/>
        <w:rPr>
          <w:rFonts w:ascii="宋体" w:hAnsi="宋体"/>
          <w:snapToGrid w:val="0"/>
          <w:sz w:val="24"/>
        </w:rPr>
      </w:pPr>
      <w:r>
        <w:rPr>
          <w:rFonts w:hint="eastAsia" w:ascii="宋体" w:hAnsi="宋体"/>
          <w:snapToGrid w:val="0"/>
          <w:sz w:val="24"/>
        </w:rPr>
        <w:t>（2）施行优生“特培”</w:t>
      </w:r>
    </w:p>
    <w:p>
      <w:pPr>
        <w:spacing w:line="400" w:lineRule="exact"/>
        <w:ind w:firstLine="480" w:firstLineChars="200"/>
        <w:rPr>
          <w:rFonts w:ascii="宋体" w:hAnsi="宋体"/>
          <w:snapToGrid w:val="0"/>
          <w:sz w:val="24"/>
        </w:rPr>
      </w:pPr>
      <w:r>
        <w:rPr>
          <w:rFonts w:hint="eastAsia" w:ascii="宋体" w:hAnsi="宋体"/>
          <w:snapToGrid w:val="0"/>
          <w:sz w:val="24"/>
        </w:rPr>
        <w:t>优化人才培养模式，因材施教，加强对优秀生的综合培养。针对能力突出的人才数量不多以及教学模式单一的现象，为适应社会发展对人才培养的多层次要求，让优秀的学生脱颖而出，必须加强对优秀生的综合培养工作，采取分层教学、因材施教等多种措施，施行优生“特培”，使之既具有较扎实的专业知识，又具有较为突出的外语、计算机技能特长。吸纳学生加入教师科研项目，熟悉专业基本原理，锻炼基本操作技能；第四、鼓励学生和其他专业学生合作，共同参与科技竞赛，创新创业活动，发挥自身专业知识优势外，了解其他专业，促进了学习的兴趣和主动性；第五、鼓励学生提早准备材料专业资格证书考试 ，将课堂教学有的放矢的提高学生专业技能。</w:t>
      </w:r>
    </w:p>
    <w:p>
      <w:pPr>
        <w:spacing w:line="400" w:lineRule="exact"/>
        <w:ind w:firstLine="480" w:firstLineChars="200"/>
        <w:rPr>
          <w:rFonts w:ascii="宋体" w:hAnsi="宋体"/>
          <w:snapToGrid w:val="0"/>
          <w:sz w:val="24"/>
        </w:rPr>
      </w:pPr>
      <w:r>
        <w:rPr>
          <w:rFonts w:hint="eastAsia" w:ascii="宋体" w:hAnsi="宋体"/>
          <w:snapToGrid w:val="0"/>
          <w:sz w:val="24"/>
        </w:rPr>
        <w:t>（3）建立竞赛驱动的实践教学体系</w:t>
      </w:r>
    </w:p>
    <w:p>
      <w:pPr>
        <w:spacing w:line="400" w:lineRule="exact"/>
        <w:ind w:firstLine="480" w:firstLineChars="200"/>
        <w:rPr>
          <w:rFonts w:ascii="宋体" w:hAnsi="宋体"/>
          <w:snapToGrid w:val="0"/>
          <w:sz w:val="24"/>
        </w:rPr>
      </w:pPr>
      <w:r>
        <w:rPr>
          <w:rFonts w:hint="eastAsia" w:ascii="宋体" w:hAnsi="宋体"/>
          <w:snapToGrid w:val="0"/>
          <w:sz w:val="24"/>
        </w:rPr>
        <w:t>尝试建立以创新竞赛为驱动，“以赛求用，以赛促学，在竞赛中培养工程实践能力和创新能力”的材料科学与工程专业实践教学体系。</w:t>
      </w:r>
    </w:p>
    <w:p>
      <w:pPr>
        <w:spacing w:line="400" w:lineRule="exact"/>
        <w:ind w:firstLine="480" w:firstLineChars="200"/>
        <w:rPr>
          <w:rFonts w:ascii="宋体" w:hAnsi="宋体"/>
          <w:snapToGrid w:val="0"/>
          <w:sz w:val="24"/>
        </w:rPr>
      </w:pPr>
      <w:r>
        <w:rPr>
          <w:rFonts w:hint="eastAsia" w:ascii="宋体" w:hAnsi="宋体"/>
          <w:snapToGrid w:val="0"/>
          <w:sz w:val="24"/>
        </w:rPr>
        <w:t>逐步在大学4 年形成创新竞赛要不断线，有步骤地开展针对性强、目标明确的系列创新竞赛活动。我们在二年级设立3D打印创意设计大赛、铸造工艺大赛，以竞赛的方式促进学生探索和发现生活中的材料应用，实现“以赛求用”，着重培养学生的专业兴趣和专业认同感。</w:t>
      </w:r>
    </w:p>
    <w:p>
      <w:pPr>
        <w:spacing w:line="400" w:lineRule="exact"/>
        <w:ind w:firstLine="480" w:firstLineChars="200"/>
        <w:rPr>
          <w:rFonts w:ascii="宋体" w:hAnsi="宋体"/>
          <w:snapToGrid w:val="0"/>
          <w:sz w:val="24"/>
        </w:rPr>
      </w:pPr>
      <w:r>
        <w:rPr>
          <w:rFonts w:hint="eastAsia" w:ascii="宋体" w:hAnsi="宋体"/>
          <w:snapToGrid w:val="0"/>
          <w:sz w:val="24"/>
        </w:rPr>
        <w:t>在三年级，可引导学生参加全国大学生3D创新竞赛，与机器人或者自动化专业联合参加机器人或者无碳小车等创新竞赛，驱动的材料工程实践教学体系进一步优化。</w:t>
      </w:r>
    </w:p>
    <w:p>
      <w:pPr>
        <w:spacing w:line="400" w:lineRule="exact"/>
        <w:ind w:firstLine="480" w:firstLineChars="200"/>
        <w:rPr>
          <w:rFonts w:ascii="宋体" w:hAnsi="宋体"/>
          <w:snapToGrid w:val="0"/>
          <w:sz w:val="24"/>
        </w:rPr>
      </w:pPr>
      <w:r>
        <w:rPr>
          <w:rFonts w:hint="eastAsia" w:ascii="宋体" w:hAnsi="宋体"/>
          <w:snapToGrid w:val="0"/>
          <w:sz w:val="24"/>
        </w:rPr>
        <w:t>二、三年级实现“以赛促学”、“以研促学”，着重培养学生解决问题的基本技能、工程实践能力和创新思维。</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snapToGrid w:val="0"/>
          <w:sz w:val="24"/>
          <w:lang w:val="en-US" w:eastAsia="zh-CN"/>
        </w:rPr>
      </w:pPr>
      <w:r>
        <w:rPr>
          <w:rFonts w:hint="eastAsia" w:ascii="黑体" w:hAnsi="黑体" w:eastAsia="黑体" w:cs="黑体"/>
          <w:snapToGrid w:val="0"/>
          <w:sz w:val="24"/>
          <w:lang w:val="en-US" w:eastAsia="zh-CN"/>
        </w:rPr>
        <w:t>2.制定教材建设计划，突出专业化方向</w:t>
      </w:r>
    </w:p>
    <w:p>
      <w:pPr>
        <w:spacing w:line="400" w:lineRule="exact"/>
        <w:ind w:firstLine="480" w:firstLineChars="200"/>
        <w:rPr>
          <w:rFonts w:ascii="宋体" w:hAnsi="宋体"/>
          <w:snapToGrid w:val="0"/>
          <w:sz w:val="24"/>
        </w:rPr>
      </w:pPr>
      <w:r>
        <w:rPr>
          <w:rFonts w:hint="eastAsia" w:ascii="宋体" w:hAnsi="宋体"/>
          <w:snapToGrid w:val="0"/>
          <w:sz w:val="24"/>
        </w:rPr>
        <w:t>根据专业自身培养目标制定切实可行的专业教材建设规划，统筹安排，分步实施。对暂时代用教材，在使用过程中应根据本专业的需要及时调整其教学内容，并开列参考书目，编写或介绍一些补充教材、学习指导书、参考书和课外读物，以强化专业的特色和优势，在此基础上力争在第二轮教学时能编写出适用的新教材或新讲义。积极组织力量，加强新开课程的教材和紧缺教材的建设，抓紧制作各类教学资料和课件，编写出配套的教学参考资料、习题集、实验教材或指导书，形成具有本专业特色的、吸收科研成果的、完整的教材体系。</w:t>
      </w:r>
    </w:p>
    <w:p>
      <w:pPr>
        <w:spacing w:line="400" w:lineRule="exact"/>
        <w:ind w:firstLine="480" w:firstLineChars="200"/>
        <w:rPr>
          <w:rFonts w:ascii="宋体" w:hAnsi="宋体"/>
          <w:snapToGrid w:val="0"/>
          <w:sz w:val="24"/>
        </w:rPr>
      </w:pPr>
      <w:r>
        <w:rPr>
          <w:rFonts w:hint="eastAsia" w:ascii="宋体" w:hAnsi="宋体"/>
          <w:snapToGrid w:val="0"/>
          <w:sz w:val="24"/>
        </w:rPr>
        <w:t>材料科学与工程专业定位方向为再制造与表面工程技术，是机械、材料、表面技术、测量等相关学科的深度融合产生的新学科体系，其专业教材的编写应体现专业特色。在教材编写上，应体现出其基础性作用，编写的内容应能带领学生走进再制造与表面工程的大门，为以后整个专业知识的学习打下基础；同时也要注意各门课程教材内容的系统化，避免专业知识的重叠与缺失。针对材料工程专业较强的实践性，本专业的教材选择必须具有较强的实践性。只有这样，才能保证教材的应用价值，提高专业培养质量。</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snapToGrid w:val="0"/>
          <w:sz w:val="24"/>
          <w:lang w:val="en-US" w:eastAsia="zh-CN"/>
        </w:rPr>
      </w:pPr>
      <w:r>
        <w:rPr>
          <w:rFonts w:hint="eastAsia" w:ascii="黑体" w:hAnsi="黑体" w:eastAsia="黑体" w:cs="黑体"/>
          <w:snapToGrid w:val="0"/>
          <w:sz w:val="24"/>
          <w:lang w:val="en-US" w:eastAsia="zh-CN"/>
        </w:rPr>
        <w:t>3.加强师资队伍建设，引进高水平人才</w:t>
      </w:r>
    </w:p>
    <w:p>
      <w:pPr>
        <w:spacing w:line="400" w:lineRule="exact"/>
        <w:ind w:firstLine="480" w:firstLineChars="200"/>
        <w:rPr>
          <w:rFonts w:ascii="宋体" w:hAnsi="宋体"/>
          <w:snapToGrid w:val="0"/>
          <w:sz w:val="24"/>
        </w:rPr>
      </w:pPr>
      <w:r>
        <w:rPr>
          <w:rFonts w:hint="eastAsia" w:ascii="宋体" w:hAnsi="宋体"/>
          <w:snapToGrid w:val="0"/>
          <w:sz w:val="24"/>
        </w:rPr>
        <w:t>加强师资队伍建设，主要是通过对现有教师的培养和新教师人才引进两个方面来开展的，尤其是在年轻教师中加强对学科领军人物的培养。在保证教学正常运行的情况下，选派部分教师到优秀的工程企业考察学习，使他们能够将教学中的项目情景设计与企业需求接轨，而不是闭门造车。还要加大教师引进力度，在</w:t>
      </w:r>
      <w:r>
        <w:rPr>
          <w:rFonts w:ascii="宋体" w:hAnsi="宋体"/>
          <w:snapToGrid w:val="0"/>
          <w:sz w:val="24"/>
        </w:rPr>
        <w:t>1-2</w:t>
      </w:r>
      <w:r>
        <w:rPr>
          <w:rFonts w:hint="eastAsia" w:ascii="宋体" w:hAnsi="宋体"/>
          <w:snapToGrid w:val="0"/>
          <w:sz w:val="24"/>
        </w:rPr>
        <w:t>年内，至少应该引进1名增材制造领域的博士，以解决充分满足学生全面培养的需要。具体策略如下：</w:t>
      </w:r>
    </w:p>
    <w:p>
      <w:pPr>
        <w:spacing w:line="400" w:lineRule="exact"/>
        <w:ind w:firstLine="480" w:firstLineChars="200"/>
        <w:rPr>
          <w:rFonts w:ascii="宋体" w:hAnsi="宋体"/>
          <w:snapToGrid w:val="0"/>
          <w:sz w:val="24"/>
        </w:rPr>
      </w:pPr>
      <w:r>
        <w:rPr>
          <w:rFonts w:hint="eastAsia" w:ascii="宋体" w:hAnsi="宋体"/>
          <w:snapToGrid w:val="0"/>
          <w:sz w:val="24"/>
        </w:rPr>
        <w:t>（1）引进企业的专业培训服务，为了快速的提高现有师资队伍的专业素养，需要向企业学习，从企业直接引进有针对性的培训服务，通过这些培训服务可以提高师资队伍的业务能力，例如给缺少专业知识应用经验的教师进行培训和交流，从而弥补他们的知识局限。</w:t>
      </w:r>
    </w:p>
    <w:p>
      <w:pPr>
        <w:spacing w:line="400" w:lineRule="exact"/>
        <w:ind w:firstLine="480" w:firstLineChars="200"/>
        <w:rPr>
          <w:rFonts w:ascii="宋体" w:hAnsi="宋体"/>
          <w:snapToGrid w:val="0"/>
          <w:sz w:val="24"/>
        </w:rPr>
      </w:pPr>
      <w:r>
        <w:rPr>
          <w:rFonts w:hint="eastAsia" w:ascii="宋体" w:hAnsi="宋体"/>
          <w:snapToGrid w:val="0"/>
          <w:sz w:val="24"/>
        </w:rPr>
        <w:t>（2）走进企业，派遣专任教师到企业中实践、</w:t>
      </w:r>
      <w:r>
        <w:rPr>
          <w:rFonts w:ascii="宋体" w:hAnsi="宋体"/>
          <w:snapToGrid w:val="0"/>
          <w:sz w:val="24"/>
        </w:rPr>
        <w:t>出国进修</w:t>
      </w:r>
      <w:r>
        <w:rPr>
          <w:rFonts w:hint="eastAsia" w:ascii="宋体" w:hAnsi="宋体"/>
          <w:snapToGrid w:val="0"/>
          <w:sz w:val="24"/>
        </w:rPr>
        <w:t xml:space="preserve">等，加快双师结构专业教学团队建设，建立“校企互聘互管”机制，如鼓励教师进企业锻炼，兼职参与企业科研项目或社会服务项目。并建立相应的激励考核制度，如，将兼职教师考核管理与企业管理机制对接，即将教师在企业的表现作为学校对教师的考核依据，或作为教师晋升的优先条件等。 </w:t>
      </w:r>
    </w:p>
    <w:p>
      <w:pPr>
        <w:spacing w:line="400" w:lineRule="exact"/>
        <w:ind w:firstLine="480" w:firstLineChars="200"/>
        <w:rPr>
          <w:rFonts w:ascii="宋体" w:hAnsi="宋体"/>
          <w:snapToGrid w:val="0"/>
          <w:sz w:val="24"/>
        </w:rPr>
      </w:pPr>
      <w:r>
        <w:rPr>
          <w:rFonts w:hint="eastAsia" w:ascii="宋体" w:hAnsi="宋体"/>
          <w:snapToGrid w:val="0"/>
          <w:sz w:val="24"/>
        </w:rPr>
        <w:t>（3）引进人才，制订专业带头人、骨干教师的引进计划，通过引进、聘任具有行业影响力的专家和教授作为专业带头人，聘任一批行业、企业专业人才作为兼职教师。为原有的师资队伍添加活力，也为原有的师资队伍请来了新的老师，为他们自身专业素养的提高带来帮助。</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0D4"/>
    <w:rsid w:val="00000117"/>
    <w:rsid w:val="00002901"/>
    <w:rsid w:val="00011769"/>
    <w:rsid w:val="00012090"/>
    <w:rsid w:val="0001608F"/>
    <w:rsid w:val="00021AF9"/>
    <w:rsid w:val="00023C3B"/>
    <w:rsid w:val="00023EEB"/>
    <w:rsid w:val="00023FC8"/>
    <w:rsid w:val="00025728"/>
    <w:rsid w:val="0002591B"/>
    <w:rsid w:val="0003064A"/>
    <w:rsid w:val="0003121E"/>
    <w:rsid w:val="000337F2"/>
    <w:rsid w:val="00034A7E"/>
    <w:rsid w:val="00035250"/>
    <w:rsid w:val="00040A4A"/>
    <w:rsid w:val="0004302F"/>
    <w:rsid w:val="00050730"/>
    <w:rsid w:val="000600D2"/>
    <w:rsid w:val="0006369C"/>
    <w:rsid w:val="00071373"/>
    <w:rsid w:val="00071683"/>
    <w:rsid w:val="00072B42"/>
    <w:rsid w:val="000742D8"/>
    <w:rsid w:val="00076036"/>
    <w:rsid w:val="00076A41"/>
    <w:rsid w:val="000774B3"/>
    <w:rsid w:val="00080465"/>
    <w:rsid w:val="00081938"/>
    <w:rsid w:val="00084E1A"/>
    <w:rsid w:val="00085C98"/>
    <w:rsid w:val="000863F4"/>
    <w:rsid w:val="00086F0F"/>
    <w:rsid w:val="0009207D"/>
    <w:rsid w:val="0009262E"/>
    <w:rsid w:val="00096124"/>
    <w:rsid w:val="0009786A"/>
    <w:rsid w:val="000C20B3"/>
    <w:rsid w:val="000C40BC"/>
    <w:rsid w:val="000C6FE9"/>
    <w:rsid w:val="000D02AA"/>
    <w:rsid w:val="000D0800"/>
    <w:rsid w:val="000D569F"/>
    <w:rsid w:val="000D583F"/>
    <w:rsid w:val="000E071A"/>
    <w:rsid w:val="000E2FFD"/>
    <w:rsid w:val="000E33B0"/>
    <w:rsid w:val="000F058E"/>
    <w:rsid w:val="000F6671"/>
    <w:rsid w:val="000F776F"/>
    <w:rsid w:val="00110646"/>
    <w:rsid w:val="00110A1E"/>
    <w:rsid w:val="001303AA"/>
    <w:rsid w:val="00131C29"/>
    <w:rsid w:val="00131CE0"/>
    <w:rsid w:val="00131E53"/>
    <w:rsid w:val="001407A5"/>
    <w:rsid w:val="00146877"/>
    <w:rsid w:val="00147FB2"/>
    <w:rsid w:val="0015068D"/>
    <w:rsid w:val="001607CF"/>
    <w:rsid w:val="00161798"/>
    <w:rsid w:val="00166EB9"/>
    <w:rsid w:val="00175A68"/>
    <w:rsid w:val="00175E38"/>
    <w:rsid w:val="001828E0"/>
    <w:rsid w:val="00182AFC"/>
    <w:rsid w:val="00196DF5"/>
    <w:rsid w:val="001A37EB"/>
    <w:rsid w:val="001A5B0A"/>
    <w:rsid w:val="001A74E9"/>
    <w:rsid w:val="001B2267"/>
    <w:rsid w:val="001C0C14"/>
    <w:rsid w:val="001C0D4E"/>
    <w:rsid w:val="001C7079"/>
    <w:rsid w:val="001D27AC"/>
    <w:rsid w:val="001D2E7F"/>
    <w:rsid w:val="001D4551"/>
    <w:rsid w:val="001D4B6B"/>
    <w:rsid w:val="001E45ED"/>
    <w:rsid w:val="001E6080"/>
    <w:rsid w:val="001F371A"/>
    <w:rsid w:val="00200C07"/>
    <w:rsid w:val="00202F43"/>
    <w:rsid w:val="00203482"/>
    <w:rsid w:val="002124D6"/>
    <w:rsid w:val="00213EB8"/>
    <w:rsid w:val="002140A9"/>
    <w:rsid w:val="00215B1B"/>
    <w:rsid w:val="00217FBC"/>
    <w:rsid w:val="002204E2"/>
    <w:rsid w:val="00222704"/>
    <w:rsid w:val="00227CD6"/>
    <w:rsid w:val="00227D35"/>
    <w:rsid w:val="00231106"/>
    <w:rsid w:val="002327BC"/>
    <w:rsid w:val="00232927"/>
    <w:rsid w:val="00235DFE"/>
    <w:rsid w:val="00236A1E"/>
    <w:rsid w:val="00236D17"/>
    <w:rsid w:val="0024104B"/>
    <w:rsid w:val="00241186"/>
    <w:rsid w:val="0024183D"/>
    <w:rsid w:val="0024402D"/>
    <w:rsid w:val="00246278"/>
    <w:rsid w:val="00247281"/>
    <w:rsid w:val="00256312"/>
    <w:rsid w:val="00261BD0"/>
    <w:rsid w:val="0026382E"/>
    <w:rsid w:val="00273B62"/>
    <w:rsid w:val="002746B0"/>
    <w:rsid w:val="0027755B"/>
    <w:rsid w:val="002807B5"/>
    <w:rsid w:val="0028083D"/>
    <w:rsid w:val="002812A6"/>
    <w:rsid w:val="00282B21"/>
    <w:rsid w:val="00283708"/>
    <w:rsid w:val="002925B9"/>
    <w:rsid w:val="00293B77"/>
    <w:rsid w:val="0029440A"/>
    <w:rsid w:val="002A030A"/>
    <w:rsid w:val="002A1112"/>
    <w:rsid w:val="002A1977"/>
    <w:rsid w:val="002A3C1F"/>
    <w:rsid w:val="002A6B15"/>
    <w:rsid w:val="002A6D8D"/>
    <w:rsid w:val="002A7AD4"/>
    <w:rsid w:val="002B1A18"/>
    <w:rsid w:val="002B7F2C"/>
    <w:rsid w:val="002C54F3"/>
    <w:rsid w:val="002C746B"/>
    <w:rsid w:val="002C7597"/>
    <w:rsid w:val="002C79AB"/>
    <w:rsid w:val="002D5B5E"/>
    <w:rsid w:val="002D6E5E"/>
    <w:rsid w:val="002E03C3"/>
    <w:rsid w:val="002E7CA1"/>
    <w:rsid w:val="002F0D59"/>
    <w:rsid w:val="002F0FFC"/>
    <w:rsid w:val="002F353E"/>
    <w:rsid w:val="002F4A06"/>
    <w:rsid w:val="003066C8"/>
    <w:rsid w:val="00307540"/>
    <w:rsid w:val="00310BE7"/>
    <w:rsid w:val="00313BFE"/>
    <w:rsid w:val="00313F51"/>
    <w:rsid w:val="00314564"/>
    <w:rsid w:val="00321504"/>
    <w:rsid w:val="00323F42"/>
    <w:rsid w:val="00326BFD"/>
    <w:rsid w:val="00332E4C"/>
    <w:rsid w:val="00333AD6"/>
    <w:rsid w:val="00336B99"/>
    <w:rsid w:val="00337185"/>
    <w:rsid w:val="00337FF0"/>
    <w:rsid w:val="00342626"/>
    <w:rsid w:val="00343C74"/>
    <w:rsid w:val="0034763B"/>
    <w:rsid w:val="00347CCA"/>
    <w:rsid w:val="003531C7"/>
    <w:rsid w:val="00357C6C"/>
    <w:rsid w:val="00362C43"/>
    <w:rsid w:val="00372664"/>
    <w:rsid w:val="00373EFA"/>
    <w:rsid w:val="00374065"/>
    <w:rsid w:val="003742EC"/>
    <w:rsid w:val="00374912"/>
    <w:rsid w:val="00376767"/>
    <w:rsid w:val="00381ABF"/>
    <w:rsid w:val="00382EEE"/>
    <w:rsid w:val="00387F7E"/>
    <w:rsid w:val="00390CD2"/>
    <w:rsid w:val="00391B84"/>
    <w:rsid w:val="003A08A8"/>
    <w:rsid w:val="003A1314"/>
    <w:rsid w:val="003B1F4E"/>
    <w:rsid w:val="003B2B03"/>
    <w:rsid w:val="003B4D3F"/>
    <w:rsid w:val="003C2ABB"/>
    <w:rsid w:val="003C3BA8"/>
    <w:rsid w:val="003D046C"/>
    <w:rsid w:val="003D1580"/>
    <w:rsid w:val="003D2677"/>
    <w:rsid w:val="003E26BE"/>
    <w:rsid w:val="003F486D"/>
    <w:rsid w:val="0040094F"/>
    <w:rsid w:val="0040269B"/>
    <w:rsid w:val="004041F6"/>
    <w:rsid w:val="0040601A"/>
    <w:rsid w:val="00415352"/>
    <w:rsid w:val="00415BF8"/>
    <w:rsid w:val="00415DD7"/>
    <w:rsid w:val="00425407"/>
    <w:rsid w:val="00425AFE"/>
    <w:rsid w:val="004270E2"/>
    <w:rsid w:val="00427D1F"/>
    <w:rsid w:val="00431C1C"/>
    <w:rsid w:val="00436CEF"/>
    <w:rsid w:val="0043761B"/>
    <w:rsid w:val="00444B86"/>
    <w:rsid w:val="00446D20"/>
    <w:rsid w:val="00452440"/>
    <w:rsid w:val="00452790"/>
    <w:rsid w:val="00466F8B"/>
    <w:rsid w:val="004701F7"/>
    <w:rsid w:val="004714AD"/>
    <w:rsid w:val="00472B25"/>
    <w:rsid w:val="004734CA"/>
    <w:rsid w:val="00491FFE"/>
    <w:rsid w:val="0049523A"/>
    <w:rsid w:val="00495279"/>
    <w:rsid w:val="0049538D"/>
    <w:rsid w:val="004A33FF"/>
    <w:rsid w:val="004A41B3"/>
    <w:rsid w:val="004A58EB"/>
    <w:rsid w:val="004B1A1F"/>
    <w:rsid w:val="004B4EFB"/>
    <w:rsid w:val="004C1F8D"/>
    <w:rsid w:val="004C36AF"/>
    <w:rsid w:val="004C4FF5"/>
    <w:rsid w:val="004C576D"/>
    <w:rsid w:val="004D523B"/>
    <w:rsid w:val="004E2263"/>
    <w:rsid w:val="004E3D69"/>
    <w:rsid w:val="004E7B2A"/>
    <w:rsid w:val="004F01A4"/>
    <w:rsid w:val="004F2FC2"/>
    <w:rsid w:val="004F717E"/>
    <w:rsid w:val="0050032F"/>
    <w:rsid w:val="005048FC"/>
    <w:rsid w:val="0050650B"/>
    <w:rsid w:val="005147BD"/>
    <w:rsid w:val="00515923"/>
    <w:rsid w:val="00524CA9"/>
    <w:rsid w:val="00525B56"/>
    <w:rsid w:val="00530E2B"/>
    <w:rsid w:val="0053445F"/>
    <w:rsid w:val="00537A1A"/>
    <w:rsid w:val="0054518D"/>
    <w:rsid w:val="005502CE"/>
    <w:rsid w:val="00553A94"/>
    <w:rsid w:val="00553F78"/>
    <w:rsid w:val="00557C6D"/>
    <w:rsid w:val="00557ECC"/>
    <w:rsid w:val="00560006"/>
    <w:rsid w:val="005710DF"/>
    <w:rsid w:val="00574344"/>
    <w:rsid w:val="0057465D"/>
    <w:rsid w:val="00575EF7"/>
    <w:rsid w:val="00577612"/>
    <w:rsid w:val="005828A6"/>
    <w:rsid w:val="005835F5"/>
    <w:rsid w:val="00583C91"/>
    <w:rsid w:val="00584490"/>
    <w:rsid w:val="005864D4"/>
    <w:rsid w:val="005868AF"/>
    <w:rsid w:val="005A1C79"/>
    <w:rsid w:val="005A420B"/>
    <w:rsid w:val="005B12BA"/>
    <w:rsid w:val="005D10E1"/>
    <w:rsid w:val="005D1964"/>
    <w:rsid w:val="005D47F5"/>
    <w:rsid w:val="005D4804"/>
    <w:rsid w:val="005E6004"/>
    <w:rsid w:val="005E6E4B"/>
    <w:rsid w:val="005F0586"/>
    <w:rsid w:val="00603110"/>
    <w:rsid w:val="006050D4"/>
    <w:rsid w:val="006066C0"/>
    <w:rsid w:val="00606A10"/>
    <w:rsid w:val="00610582"/>
    <w:rsid w:val="00611557"/>
    <w:rsid w:val="0061155C"/>
    <w:rsid w:val="00612185"/>
    <w:rsid w:val="006121D7"/>
    <w:rsid w:val="006166CD"/>
    <w:rsid w:val="006206B9"/>
    <w:rsid w:val="006223DD"/>
    <w:rsid w:val="006324A5"/>
    <w:rsid w:val="006331E9"/>
    <w:rsid w:val="00637059"/>
    <w:rsid w:val="0063736F"/>
    <w:rsid w:val="00640D44"/>
    <w:rsid w:val="00645E0F"/>
    <w:rsid w:val="006536EF"/>
    <w:rsid w:val="00660415"/>
    <w:rsid w:val="0066339A"/>
    <w:rsid w:val="0066577C"/>
    <w:rsid w:val="00671E24"/>
    <w:rsid w:val="00672CC0"/>
    <w:rsid w:val="00674722"/>
    <w:rsid w:val="00677CE4"/>
    <w:rsid w:val="00686422"/>
    <w:rsid w:val="006A22C5"/>
    <w:rsid w:val="006A279F"/>
    <w:rsid w:val="006A2CBC"/>
    <w:rsid w:val="006C5051"/>
    <w:rsid w:val="006D1BD0"/>
    <w:rsid w:val="006D4EFA"/>
    <w:rsid w:val="006D7268"/>
    <w:rsid w:val="006E0AFB"/>
    <w:rsid w:val="006E5B38"/>
    <w:rsid w:val="007036F2"/>
    <w:rsid w:val="00703F53"/>
    <w:rsid w:val="0071309D"/>
    <w:rsid w:val="00717726"/>
    <w:rsid w:val="00723641"/>
    <w:rsid w:val="007236C7"/>
    <w:rsid w:val="00723F5C"/>
    <w:rsid w:val="00731156"/>
    <w:rsid w:val="007425DA"/>
    <w:rsid w:val="00744F84"/>
    <w:rsid w:val="0074606F"/>
    <w:rsid w:val="007609E6"/>
    <w:rsid w:val="00760D9F"/>
    <w:rsid w:val="00760EF0"/>
    <w:rsid w:val="0076531C"/>
    <w:rsid w:val="00765611"/>
    <w:rsid w:val="00774018"/>
    <w:rsid w:val="00776DAB"/>
    <w:rsid w:val="00776DCD"/>
    <w:rsid w:val="0077746E"/>
    <w:rsid w:val="007820A9"/>
    <w:rsid w:val="007841FA"/>
    <w:rsid w:val="00793026"/>
    <w:rsid w:val="007A0A5F"/>
    <w:rsid w:val="007A7ED3"/>
    <w:rsid w:val="007B1913"/>
    <w:rsid w:val="007B2ECF"/>
    <w:rsid w:val="007B3B1A"/>
    <w:rsid w:val="007B426F"/>
    <w:rsid w:val="007B57C6"/>
    <w:rsid w:val="007C0C21"/>
    <w:rsid w:val="007C65DC"/>
    <w:rsid w:val="007C6FBE"/>
    <w:rsid w:val="007D5AB8"/>
    <w:rsid w:val="007E47DD"/>
    <w:rsid w:val="007E50D5"/>
    <w:rsid w:val="007E608F"/>
    <w:rsid w:val="007E7423"/>
    <w:rsid w:val="007F0F20"/>
    <w:rsid w:val="007F307D"/>
    <w:rsid w:val="007F6797"/>
    <w:rsid w:val="0080680A"/>
    <w:rsid w:val="008069B9"/>
    <w:rsid w:val="0081466B"/>
    <w:rsid w:val="0081633B"/>
    <w:rsid w:val="00820105"/>
    <w:rsid w:val="00821BDC"/>
    <w:rsid w:val="008242C7"/>
    <w:rsid w:val="0082786E"/>
    <w:rsid w:val="0082787E"/>
    <w:rsid w:val="0083371F"/>
    <w:rsid w:val="00833E7A"/>
    <w:rsid w:val="00834EB8"/>
    <w:rsid w:val="00836374"/>
    <w:rsid w:val="0084173C"/>
    <w:rsid w:val="00843873"/>
    <w:rsid w:val="00844A31"/>
    <w:rsid w:val="0085045B"/>
    <w:rsid w:val="00850B3B"/>
    <w:rsid w:val="00851D98"/>
    <w:rsid w:val="008637FC"/>
    <w:rsid w:val="0086516E"/>
    <w:rsid w:val="00866F9D"/>
    <w:rsid w:val="00870EB7"/>
    <w:rsid w:val="00877D24"/>
    <w:rsid w:val="008815F5"/>
    <w:rsid w:val="008A6E6E"/>
    <w:rsid w:val="008C0062"/>
    <w:rsid w:val="008C67BF"/>
    <w:rsid w:val="008D0C1D"/>
    <w:rsid w:val="008D20EA"/>
    <w:rsid w:val="008D3745"/>
    <w:rsid w:val="008E0095"/>
    <w:rsid w:val="008E12FE"/>
    <w:rsid w:val="008F1A8B"/>
    <w:rsid w:val="00911702"/>
    <w:rsid w:val="009134D5"/>
    <w:rsid w:val="0091686B"/>
    <w:rsid w:val="00920EF0"/>
    <w:rsid w:val="00921CB7"/>
    <w:rsid w:val="00927EED"/>
    <w:rsid w:val="009346B0"/>
    <w:rsid w:val="00935C89"/>
    <w:rsid w:val="0094117E"/>
    <w:rsid w:val="009451D1"/>
    <w:rsid w:val="00954701"/>
    <w:rsid w:val="0095718A"/>
    <w:rsid w:val="00961893"/>
    <w:rsid w:val="009644D9"/>
    <w:rsid w:val="00974B39"/>
    <w:rsid w:val="00976216"/>
    <w:rsid w:val="00977180"/>
    <w:rsid w:val="009865B9"/>
    <w:rsid w:val="00991899"/>
    <w:rsid w:val="009938C0"/>
    <w:rsid w:val="00997391"/>
    <w:rsid w:val="00997A1F"/>
    <w:rsid w:val="009A0106"/>
    <w:rsid w:val="009A19A0"/>
    <w:rsid w:val="009A2A0B"/>
    <w:rsid w:val="009A3A18"/>
    <w:rsid w:val="009B1266"/>
    <w:rsid w:val="009B12CD"/>
    <w:rsid w:val="009B2903"/>
    <w:rsid w:val="009B43EC"/>
    <w:rsid w:val="009B51FB"/>
    <w:rsid w:val="009B57EB"/>
    <w:rsid w:val="009C031F"/>
    <w:rsid w:val="009C2747"/>
    <w:rsid w:val="009D2447"/>
    <w:rsid w:val="009D39F7"/>
    <w:rsid w:val="009F384E"/>
    <w:rsid w:val="009F613C"/>
    <w:rsid w:val="009F6BFC"/>
    <w:rsid w:val="00A04934"/>
    <w:rsid w:val="00A05E36"/>
    <w:rsid w:val="00A05F23"/>
    <w:rsid w:val="00A062DD"/>
    <w:rsid w:val="00A1057B"/>
    <w:rsid w:val="00A15092"/>
    <w:rsid w:val="00A16063"/>
    <w:rsid w:val="00A21BD0"/>
    <w:rsid w:val="00A2282A"/>
    <w:rsid w:val="00A2653B"/>
    <w:rsid w:val="00A31D45"/>
    <w:rsid w:val="00A32DD4"/>
    <w:rsid w:val="00A338C5"/>
    <w:rsid w:val="00A34B36"/>
    <w:rsid w:val="00A40E80"/>
    <w:rsid w:val="00A47404"/>
    <w:rsid w:val="00A52358"/>
    <w:rsid w:val="00A53573"/>
    <w:rsid w:val="00A66F7D"/>
    <w:rsid w:val="00A728CF"/>
    <w:rsid w:val="00A76E84"/>
    <w:rsid w:val="00A8094F"/>
    <w:rsid w:val="00A8419A"/>
    <w:rsid w:val="00A91B27"/>
    <w:rsid w:val="00AA1660"/>
    <w:rsid w:val="00AA1A5A"/>
    <w:rsid w:val="00AA22E3"/>
    <w:rsid w:val="00AA54AC"/>
    <w:rsid w:val="00AB02A5"/>
    <w:rsid w:val="00AB1F1B"/>
    <w:rsid w:val="00AC0B0E"/>
    <w:rsid w:val="00AC5B67"/>
    <w:rsid w:val="00AD086D"/>
    <w:rsid w:val="00AD3807"/>
    <w:rsid w:val="00AE5C17"/>
    <w:rsid w:val="00AE6B28"/>
    <w:rsid w:val="00AE7D6B"/>
    <w:rsid w:val="00AF31ED"/>
    <w:rsid w:val="00B02D05"/>
    <w:rsid w:val="00B16B99"/>
    <w:rsid w:val="00B30AD7"/>
    <w:rsid w:val="00B31627"/>
    <w:rsid w:val="00B32699"/>
    <w:rsid w:val="00B424EB"/>
    <w:rsid w:val="00B506E0"/>
    <w:rsid w:val="00B550D4"/>
    <w:rsid w:val="00B74903"/>
    <w:rsid w:val="00B76F1F"/>
    <w:rsid w:val="00B8236A"/>
    <w:rsid w:val="00B825EB"/>
    <w:rsid w:val="00B91BF4"/>
    <w:rsid w:val="00BA16E3"/>
    <w:rsid w:val="00BB003F"/>
    <w:rsid w:val="00BB1140"/>
    <w:rsid w:val="00BB355C"/>
    <w:rsid w:val="00BB5A98"/>
    <w:rsid w:val="00BC0B1F"/>
    <w:rsid w:val="00BC1BF4"/>
    <w:rsid w:val="00BC22C4"/>
    <w:rsid w:val="00BC2B67"/>
    <w:rsid w:val="00BC7967"/>
    <w:rsid w:val="00BD0F65"/>
    <w:rsid w:val="00BD1BC2"/>
    <w:rsid w:val="00BD4D98"/>
    <w:rsid w:val="00BE1976"/>
    <w:rsid w:val="00BE6D46"/>
    <w:rsid w:val="00BF7725"/>
    <w:rsid w:val="00C00175"/>
    <w:rsid w:val="00C012CE"/>
    <w:rsid w:val="00C01F03"/>
    <w:rsid w:val="00C028C2"/>
    <w:rsid w:val="00C13B93"/>
    <w:rsid w:val="00C13D05"/>
    <w:rsid w:val="00C148B5"/>
    <w:rsid w:val="00C17D89"/>
    <w:rsid w:val="00C17FC6"/>
    <w:rsid w:val="00C21D3D"/>
    <w:rsid w:val="00C34256"/>
    <w:rsid w:val="00C37445"/>
    <w:rsid w:val="00C44609"/>
    <w:rsid w:val="00C45AAA"/>
    <w:rsid w:val="00C51CEF"/>
    <w:rsid w:val="00C54A4F"/>
    <w:rsid w:val="00C556CC"/>
    <w:rsid w:val="00C62D8C"/>
    <w:rsid w:val="00C65D25"/>
    <w:rsid w:val="00C66BA0"/>
    <w:rsid w:val="00C67271"/>
    <w:rsid w:val="00C67B6D"/>
    <w:rsid w:val="00C709FB"/>
    <w:rsid w:val="00C74487"/>
    <w:rsid w:val="00C74C84"/>
    <w:rsid w:val="00C7696D"/>
    <w:rsid w:val="00C846B2"/>
    <w:rsid w:val="00C85C13"/>
    <w:rsid w:val="00C9633A"/>
    <w:rsid w:val="00C9738B"/>
    <w:rsid w:val="00CA277A"/>
    <w:rsid w:val="00CA5947"/>
    <w:rsid w:val="00CA5FE1"/>
    <w:rsid w:val="00CB2790"/>
    <w:rsid w:val="00CC0F85"/>
    <w:rsid w:val="00CC4E24"/>
    <w:rsid w:val="00CD251C"/>
    <w:rsid w:val="00CD32D1"/>
    <w:rsid w:val="00CD79AE"/>
    <w:rsid w:val="00CE1477"/>
    <w:rsid w:val="00CE1777"/>
    <w:rsid w:val="00CE2F3E"/>
    <w:rsid w:val="00CE54B7"/>
    <w:rsid w:val="00CF0180"/>
    <w:rsid w:val="00CF73FD"/>
    <w:rsid w:val="00D022DE"/>
    <w:rsid w:val="00D0341C"/>
    <w:rsid w:val="00D055F6"/>
    <w:rsid w:val="00D1119D"/>
    <w:rsid w:val="00D12EF2"/>
    <w:rsid w:val="00D21C17"/>
    <w:rsid w:val="00D22E60"/>
    <w:rsid w:val="00D2369F"/>
    <w:rsid w:val="00D23B8C"/>
    <w:rsid w:val="00D254A9"/>
    <w:rsid w:val="00D353F3"/>
    <w:rsid w:val="00D3540E"/>
    <w:rsid w:val="00D402B5"/>
    <w:rsid w:val="00D50765"/>
    <w:rsid w:val="00D5109A"/>
    <w:rsid w:val="00D57DCC"/>
    <w:rsid w:val="00D62303"/>
    <w:rsid w:val="00D62793"/>
    <w:rsid w:val="00D73508"/>
    <w:rsid w:val="00D757DB"/>
    <w:rsid w:val="00D75848"/>
    <w:rsid w:val="00D80EE5"/>
    <w:rsid w:val="00D82182"/>
    <w:rsid w:val="00D84762"/>
    <w:rsid w:val="00D907E1"/>
    <w:rsid w:val="00DA148A"/>
    <w:rsid w:val="00DA4F05"/>
    <w:rsid w:val="00DB1C80"/>
    <w:rsid w:val="00DB1FF7"/>
    <w:rsid w:val="00DB4D9E"/>
    <w:rsid w:val="00DB7874"/>
    <w:rsid w:val="00DC18F1"/>
    <w:rsid w:val="00DC5420"/>
    <w:rsid w:val="00DC7D5B"/>
    <w:rsid w:val="00DD1259"/>
    <w:rsid w:val="00DD30D6"/>
    <w:rsid w:val="00DD39C0"/>
    <w:rsid w:val="00DD65D2"/>
    <w:rsid w:val="00DF2362"/>
    <w:rsid w:val="00DF3C8C"/>
    <w:rsid w:val="00DF5981"/>
    <w:rsid w:val="00E05845"/>
    <w:rsid w:val="00E065D5"/>
    <w:rsid w:val="00E14986"/>
    <w:rsid w:val="00E20002"/>
    <w:rsid w:val="00E20754"/>
    <w:rsid w:val="00E22770"/>
    <w:rsid w:val="00E26903"/>
    <w:rsid w:val="00E42659"/>
    <w:rsid w:val="00E53A31"/>
    <w:rsid w:val="00E5694C"/>
    <w:rsid w:val="00E578F2"/>
    <w:rsid w:val="00E57D11"/>
    <w:rsid w:val="00E57E8A"/>
    <w:rsid w:val="00E62847"/>
    <w:rsid w:val="00E62E08"/>
    <w:rsid w:val="00E631DE"/>
    <w:rsid w:val="00E678A5"/>
    <w:rsid w:val="00E8094A"/>
    <w:rsid w:val="00E81744"/>
    <w:rsid w:val="00E8543D"/>
    <w:rsid w:val="00E8577B"/>
    <w:rsid w:val="00E910B2"/>
    <w:rsid w:val="00E93799"/>
    <w:rsid w:val="00E95D9D"/>
    <w:rsid w:val="00E96334"/>
    <w:rsid w:val="00EA205C"/>
    <w:rsid w:val="00EA3E5F"/>
    <w:rsid w:val="00EA5442"/>
    <w:rsid w:val="00EA559F"/>
    <w:rsid w:val="00EA5719"/>
    <w:rsid w:val="00EC588E"/>
    <w:rsid w:val="00ED1DA2"/>
    <w:rsid w:val="00ED3FF0"/>
    <w:rsid w:val="00ED46E4"/>
    <w:rsid w:val="00ED57FB"/>
    <w:rsid w:val="00EE3324"/>
    <w:rsid w:val="00EE3EC2"/>
    <w:rsid w:val="00EE505B"/>
    <w:rsid w:val="00EF044D"/>
    <w:rsid w:val="00EF4800"/>
    <w:rsid w:val="00EF5418"/>
    <w:rsid w:val="00EF6393"/>
    <w:rsid w:val="00EF7BCA"/>
    <w:rsid w:val="00F00992"/>
    <w:rsid w:val="00F02830"/>
    <w:rsid w:val="00F03FB4"/>
    <w:rsid w:val="00F05963"/>
    <w:rsid w:val="00F0735B"/>
    <w:rsid w:val="00F07B8A"/>
    <w:rsid w:val="00F103D4"/>
    <w:rsid w:val="00F16A8F"/>
    <w:rsid w:val="00F214A9"/>
    <w:rsid w:val="00F24193"/>
    <w:rsid w:val="00F45896"/>
    <w:rsid w:val="00F473E0"/>
    <w:rsid w:val="00F47C7C"/>
    <w:rsid w:val="00F5708E"/>
    <w:rsid w:val="00F64F27"/>
    <w:rsid w:val="00F6503E"/>
    <w:rsid w:val="00F67481"/>
    <w:rsid w:val="00F72EB1"/>
    <w:rsid w:val="00F76331"/>
    <w:rsid w:val="00F76D26"/>
    <w:rsid w:val="00F77BCD"/>
    <w:rsid w:val="00F84BA0"/>
    <w:rsid w:val="00F92BCA"/>
    <w:rsid w:val="00F94474"/>
    <w:rsid w:val="00FA198B"/>
    <w:rsid w:val="00FA70A2"/>
    <w:rsid w:val="00FA7599"/>
    <w:rsid w:val="00FA79CF"/>
    <w:rsid w:val="00FB1437"/>
    <w:rsid w:val="00FB22F7"/>
    <w:rsid w:val="00FB2641"/>
    <w:rsid w:val="00FB5644"/>
    <w:rsid w:val="00FB69BD"/>
    <w:rsid w:val="00FC6651"/>
    <w:rsid w:val="00FC7AF0"/>
    <w:rsid w:val="00FD01BE"/>
    <w:rsid w:val="00FE2B24"/>
    <w:rsid w:val="00FE5C66"/>
    <w:rsid w:val="00FE7313"/>
    <w:rsid w:val="00FF2EDB"/>
    <w:rsid w:val="02F051DB"/>
    <w:rsid w:val="0CDE2738"/>
    <w:rsid w:val="108058D5"/>
    <w:rsid w:val="174539F3"/>
    <w:rsid w:val="4FFC323E"/>
    <w:rsid w:val="50A6102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ocked="1"/>
    <w:lsdException w:uiPriority="99" w:name="footnote text" w:locked="1"/>
    <w:lsdException w:qFormat="1" w:unhideWhenUsed="0" w:uiPriority="0" w:name="annotation text" w:locked="1"/>
    <w:lsdException w:qFormat="1" w:unhideWhenUsed="0" w:uiPriority="0"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qFormat="1" w:unhideWhenUsed="0" w:uiPriority="0" w:semiHidden="0"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semiHidden="0" w:name="Default Paragraph Font"/>
    <w:lsdException w:qFormat="1" w:unhideWhenUsed="0" w:uiPriority="0" w:semiHidden="0" w:name="Body Text" w:locked="1"/>
    <w:lsdException w:unhideWhenUsed="0" w:uiPriority="0"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0"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0" w:semiHidden="0" w:name="Body Text Indent 2" w:locked="1"/>
    <w:lsdException w:qFormat="1" w:unhideWhenUsed="0" w:uiPriority="0" w:semiHidden="0"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qFormat="1" w:unhideWhenUsed="0" w:uiPriority="0" w:name="Document Map" w:locked="1"/>
    <w:lsdException w:qFormat="1" w:unhideWhenUsed="0" w:uiPriority="0" w:semiHidden="0" w:name="Plain Text"/>
    <w:lsdException w:uiPriority="99" w:name="E-mail Signature" w:locked="1"/>
    <w:lsdException w:qFormat="1" w:unhideWhenUsed="0" w:uiPriority="0"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0"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0"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0" w:semiHidden="0"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qFormat/>
    <w:uiPriority w:val="0"/>
    <w:pPr>
      <w:keepNext/>
      <w:adjustRightInd w:val="0"/>
      <w:snapToGrid w:val="0"/>
      <w:spacing w:line="360" w:lineRule="exact"/>
      <w:jc w:val="center"/>
      <w:outlineLvl w:val="0"/>
    </w:pPr>
    <w:rPr>
      <w:rFonts w:ascii="黑体" w:hAnsi="宋体" w:eastAsia="黑体"/>
      <w:b/>
      <w:sz w:val="28"/>
      <w:szCs w:val="30"/>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widowControl/>
      <w:spacing w:before="100" w:beforeAutospacing="1" w:after="100" w:afterAutospacing="1"/>
      <w:jc w:val="left"/>
      <w:outlineLvl w:val="2"/>
    </w:pPr>
    <w:rPr>
      <w:rFonts w:ascii="宋体" w:hAnsi="宋体" w:cs="宋体"/>
      <w:b/>
      <w:bCs/>
      <w:kern w:val="0"/>
      <w:sz w:val="27"/>
      <w:szCs w:val="27"/>
    </w:rPr>
  </w:style>
  <w:style w:type="paragraph" w:styleId="5">
    <w:name w:val="heading 4"/>
    <w:basedOn w:val="1"/>
    <w:next w:val="1"/>
    <w:link w:val="37"/>
    <w:qFormat/>
    <w:uiPriority w:val="0"/>
    <w:pPr>
      <w:keepNext/>
      <w:keepLines/>
      <w:adjustRightInd w:val="0"/>
      <w:snapToGrid w:val="0"/>
      <w:spacing w:line="360" w:lineRule="auto"/>
      <w:outlineLvl w:val="3"/>
    </w:pPr>
    <w:rPr>
      <w:rFonts w:ascii="宋体" w:hAnsi="宋体"/>
      <w:b/>
      <w:bCs/>
      <w:kern w:val="0"/>
      <w:sz w:val="24"/>
      <w:szCs w:val="28"/>
    </w:rPr>
  </w:style>
  <w:style w:type="paragraph" w:styleId="6">
    <w:name w:val="heading 5"/>
    <w:basedOn w:val="1"/>
    <w:next w:val="1"/>
    <w:link w:val="38"/>
    <w:qFormat/>
    <w:uiPriority w:val="0"/>
    <w:pPr>
      <w:keepNext/>
      <w:keepLines/>
      <w:adjustRightInd w:val="0"/>
      <w:snapToGrid w:val="0"/>
      <w:spacing w:beforeLines="50" w:afterLines="50" w:line="360" w:lineRule="auto"/>
      <w:outlineLvl w:val="4"/>
    </w:pPr>
    <w:rPr>
      <w:rFonts w:ascii="宋体" w:hAnsi="宋体"/>
      <w:b/>
      <w:bCs/>
      <w:sz w:val="24"/>
      <w:szCs w:val="28"/>
    </w:rPr>
  </w:style>
  <w:style w:type="paragraph" w:styleId="7">
    <w:name w:val="heading 6"/>
    <w:basedOn w:val="1"/>
    <w:next w:val="1"/>
    <w:link w:val="39"/>
    <w:qFormat/>
    <w:uiPriority w:val="0"/>
    <w:pPr>
      <w:keepNext/>
      <w:keepLines/>
      <w:spacing w:before="240" w:after="64" w:line="320" w:lineRule="auto"/>
      <w:outlineLvl w:val="5"/>
    </w:pPr>
    <w:rPr>
      <w:rFonts w:ascii="Arial" w:hAnsi="Arial" w:eastAsia="黑体"/>
      <w:b/>
      <w:bCs/>
      <w:sz w:val="24"/>
    </w:rPr>
  </w:style>
  <w:style w:type="character" w:default="1" w:styleId="30">
    <w:name w:val="Default Paragraph Font"/>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locked/>
    <w:uiPriority w:val="0"/>
    <w:pPr>
      <w:ind w:firstLine="420" w:firstLineChars="200"/>
    </w:pPr>
    <w:rPr>
      <w:rFonts w:ascii="宋体" w:hAnsi="Courier New" w:cs="Courier New"/>
      <w:szCs w:val="21"/>
    </w:rPr>
  </w:style>
  <w:style w:type="paragraph" w:styleId="9">
    <w:name w:val="Document Map"/>
    <w:basedOn w:val="1"/>
    <w:link w:val="69"/>
    <w:semiHidden/>
    <w:qFormat/>
    <w:locked/>
    <w:uiPriority w:val="0"/>
    <w:pPr>
      <w:shd w:val="clear" w:color="auto" w:fill="000080"/>
      <w:spacing w:line="360" w:lineRule="auto"/>
      <w:ind w:firstLine="200" w:firstLineChars="200"/>
    </w:pPr>
    <w:rPr>
      <w:rFonts w:ascii="Calibri" w:hAnsi="Calibri"/>
      <w:sz w:val="24"/>
      <w:szCs w:val="22"/>
    </w:rPr>
  </w:style>
  <w:style w:type="paragraph" w:styleId="10">
    <w:name w:val="annotation text"/>
    <w:basedOn w:val="1"/>
    <w:link w:val="62"/>
    <w:semiHidden/>
    <w:qFormat/>
    <w:locked/>
    <w:uiPriority w:val="0"/>
    <w:pPr>
      <w:jc w:val="left"/>
    </w:pPr>
  </w:style>
  <w:style w:type="paragraph" w:styleId="11">
    <w:name w:val="Body Text"/>
    <w:basedOn w:val="1"/>
    <w:link w:val="52"/>
    <w:qFormat/>
    <w:locked/>
    <w:uiPriority w:val="0"/>
    <w:pPr>
      <w:spacing w:after="120"/>
    </w:pPr>
  </w:style>
  <w:style w:type="paragraph" w:styleId="12">
    <w:name w:val="Body Text Indent"/>
    <w:basedOn w:val="1"/>
    <w:link w:val="41"/>
    <w:uiPriority w:val="0"/>
    <w:pPr>
      <w:spacing w:after="120"/>
      <w:ind w:left="420" w:leftChars="200"/>
    </w:pPr>
  </w:style>
  <w:style w:type="paragraph" w:styleId="13">
    <w:name w:val="toc 3"/>
    <w:basedOn w:val="1"/>
    <w:next w:val="1"/>
    <w:qFormat/>
    <w:uiPriority w:val="0"/>
    <w:pPr>
      <w:ind w:left="840" w:leftChars="400"/>
    </w:pPr>
  </w:style>
  <w:style w:type="paragraph" w:styleId="14">
    <w:name w:val="Plain Text"/>
    <w:basedOn w:val="1"/>
    <w:link w:val="40"/>
    <w:qFormat/>
    <w:uiPriority w:val="0"/>
    <w:rPr>
      <w:rFonts w:ascii="宋体" w:hAnsi="Courier New" w:cs="Courier New"/>
      <w:szCs w:val="21"/>
    </w:rPr>
  </w:style>
  <w:style w:type="paragraph" w:styleId="15">
    <w:name w:val="List Number 4"/>
    <w:basedOn w:val="1"/>
    <w:qFormat/>
    <w:locked/>
    <w:uiPriority w:val="0"/>
    <w:pPr>
      <w:tabs>
        <w:tab w:val="left" w:pos="1200"/>
      </w:tabs>
      <w:ind w:left="1200" w:hanging="720"/>
    </w:pPr>
  </w:style>
  <w:style w:type="paragraph" w:styleId="16">
    <w:name w:val="Date"/>
    <w:basedOn w:val="1"/>
    <w:next w:val="1"/>
    <w:link w:val="46"/>
    <w:qFormat/>
    <w:uiPriority w:val="0"/>
    <w:pPr>
      <w:ind w:left="100" w:leftChars="2500"/>
    </w:pPr>
    <w:rPr>
      <w:rFonts w:eastAsia="仿宋_GB2312"/>
      <w:color w:val="000000"/>
      <w:sz w:val="32"/>
      <w:szCs w:val="32"/>
    </w:rPr>
  </w:style>
  <w:style w:type="paragraph" w:styleId="17">
    <w:name w:val="Body Text Indent 2"/>
    <w:basedOn w:val="1"/>
    <w:link w:val="60"/>
    <w:qFormat/>
    <w:locked/>
    <w:uiPriority w:val="0"/>
    <w:pPr>
      <w:spacing w:after="120" w:line="480" w:lineRule="auto"/>
      <w:ind w:left="420" w:leftChars="200"/>
    </w:pPr>
  </w:style>
  <w:style w:type="paragraph" w:styleId="18">
    <w:name w:val="Balloon Text"/>
    <w:basedOn w:val="1"/>
    <w:link w:val="47"/>
    <w:qFormat/>
    <w:uiPriority w:val="0"/>
    <w:rPr>
      <w:sz w:val="18"/>
      <w:szCs w:val="18"/>
    </w:rPr>
  </w:style>
  <w:style w:type="paragraph" w:styleId="19">
    <w:name w:val="footer"/>
    <w:basedOn w:val="1"/>
    <w:link w:val="44"/>
    <w:qFormat/>
    <w:uiPriority w:val="99"/>
    <w:pPr>
      <w:tabs>
        <w:tab w:val="center" w:pos="4153"/>
        <w:tab w:val="right" w:pos="8306"/>
      </w:tabs>
      <w:snapToGrid w:val="0"/>
      <w:jc w:val="left"/>
    </w:pPr>
    <w:rPr>
      <w:rFonts w:ascii="Calibri" w:hAnsi="Calibri"/>
      <w:kern w:val="0"/>
      <w:sz w:val="18"/>
      <w:szCs w:val="18"/>
    </w:rPr>
  </w:style>
  <w:style w:type="paragraph" w:styleId="20">
    <w:name w:val="header"/>
    <w:basedOn w:val="1"/>
    <w:link w:val="43"/>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21">
    <w:name w:val="toc 1"/>
    <w:basedOn w:val="1"/>
    <w:next w:val="1"/>
    <w:qFormat/>
    <w:uiPriority w:val="39"/>
  </w:style>
  <w:style w:type="paragraph" w:styleId="22">
    <w:name w:val="toc 4"/>
    <w:basedOn w:val="1"/>
    <w:next w:val="1"/>
    <w:qFormat/>
    <w:uiPriority w:val="0"/>
    <w:pPr>
      <w:ind w:left="1260" w:leftChars="600"/>
    </w:pPr>
  </w:style>
  <w:style w:type="paragraph" w:styleId="23">
    <w:name w:val="Body Text Indent 3"/>
    <w:basedOn w:val="1"/>
    <w:link w:val="53"/>
    <w:qFormat/>
    <w:locked/>
    <w:uiPriority w:val="0"/>
    <w:pPr>
      <w:spacing w:line="400" w:lineRule="exact"/>
      <w:ind w:left="481" w:leftChars="229" w:firstLine="420" w:firstLineChars="200"/>
    </w:pPr>
  </w:style>
  <w:style w:type="paragraph" w:styleId="24">
    <w:name w:val="toc 2"/>
    <w:basedOn w:val="1"/>
    <w:next w:val="1"/>
    <w:qFormat/>
    <w:uiPriority w:val="39"/>
    <w:pPr>
      <w:ind w:left="420" w:leftChars="200"/>
    </w:pPr>
  </w:style>
  <w:style w:type="paragraph" w:styleId="25">
    <w:name w:val="HTML Preformatted"/>
    <w:basedOn w:val="1"/>
    <w:link w:val="64"/>
    <w:qFormat/>
    <w:lock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color w:val="000000"/>
      <w:kern w:val="0"/>
      <w:sz w:val="20"/>
      <w:szCs w:val="20"/>
    </w:rPr>
  </w:style>
  <w:style w:type="paragraph" w:styleId="26">
    <w:name w:val="Normal (Web)"/>
    <w:basedOn w:val="1"/>
    <w:qFormat/>
    <w:uiPriority w:val="0"/>
    <w:pPr>
      <w:widowControl/>
      <w:spacing w:before="100" w:beforeAutospacing="1" w:after="100" w:afterAutospacing="1" w:line="360" w:lineRule="auto"/>
      <w:jc w:val="left"/>
    </w:pPr>
    <w:rPr>
      <w:rFonts w:ascii="宋体" w:hAnsi="宋体"/>
      <w:kern w:val="0"/>
      <w:sz w:val="24"/>
    </w:rPr>
  </w:style>
  <w:style w:type="paragraph" w:styleId="27">
    <w:name w:val="Title"/>
    <w:basedOn w:val="1"/>
    <w:link w:val="56"/>
    <w:qFormat/>
    <w:uiPriority w:val="0"/>
    <w:pPr>
      <w:spacing w:before="240" w:after="60"/>
      <w:jc w:val="center"/>
      <w:outlineLvl w:val="0"/>
    </w:pPr>
    <w:rPr>
      <w:rFonts w:ascii="Arial" w:hAnsi="Arial" w:cs="Arial"/>
      <w:b/>
      <w:bCs/>
      <w:sz w:val="32"/>
      <w:szCs w:val="32"/>
    </w:rPr>
  </w:style>
  <w:style w:type="paragraph" w:styleId="28">
    <w:name w:val="annotation subject"/>
    <w:basedOn w:val="10"/>
    <w:next w:val="10"/>
    <w:link w:val="63"/>
    <w:semiHidden/>
    <w:qFormat/>
    <w:locked/>
    <w:uiPriority w:val="0"/>
    <w:rPr>
      <w:b/>
      <w:bCs/>
    </w:rPr>
  </w:style>
  <w:style w:type="character" w:styleId="31">
    <w:name w:val="Strong"/>
    <w:qFormat/>
    <w:uiPriority w:val="0"/>
    <w:rPr>
      <w:b/>
      <w:bCs/>
    </w:rPr>
  </w:style>
  <w:style w:type="character" w:styleId="32">
    <w:name w:val="page number"/>
    <w:basedOn w:val="30"/>
    <w:qFormat/>
    <w:uiPriority w:val="0"/>
    <w:rPr>
      <w:rFonts w:cs="Times New Roman"/>
    </w:rPr>
  </w:style>
  <w:style w:type="character" w:styleId="33">
    <w:name w:val="Hyperlink"/>
    <w:basedOn w:val="30"/>
    <w:qFormat/>
    <w:uiPriority w:val="99"/>
    <w:rPr>
      <w:rFonts w:cs="Times New Roman"/>
      <w:color w:val="0000FF"/>
      <w:u w:val="single"/>
    </w:rPr>
  </w:style>
  <w:style w:type="character" w:customStyle="1" w:styleId="34">
    <w:name w:val="标题 1 Char"/>
    <w:basedOn w:val="30"/>
    <w:link w:val="2"/>
    <w:qFormat/>
    <w:uiPriority w:val="0"/>
    <w:rPr>
      <w:rFonts w:ascii="黑体" w:hAnsi="宋体" w:eastAsia="黑体"/>
      <w:b/>
      <w:sz w:val="28"/>
      <w:szCs w:val="30"/>
    </w:rPr>
  </w:style>
  <w:style w:type="character" w:customStyle="1" w:styleId="35">
    <w:name w:val="标题 2 Char"/>
    <w:basedOn w:val="30"/>
    <w:link w:val="3"/>
    <w:qFormat/>
    <w:uiPriority w:val="0"/>
    <w:rPr>
      <w:rFonts w:ascii="Arial" w:hAnsi="Arial" w:eastAsia="黑体"/>
      <w:b/>
      <w:bCs/>
      <w:sz w:val="32"/>
      <w:szCs w:val="32"/>
    </w:rPr>
  </w:style>
  <w:style w:type="character" w:customStyle="1" w:styleId="36">
    <w:name w:val="标题 3 Char"/>
    <w:basedOn w:val="30"/>
    <w:link w:val="4"/>
    <w:qFormat/>
    <w:locked/>
    <w:uiPriority w:val="0"/>
    <w:rPr>
      <w:rFonts w:ascii="宋体" w:hAnsi="宋体" w:eastAsia="宋体" w:cs="宋体"/>
      <w:b/>
      <w:bCs/>
      <w:kern w:val="0"/>
      <w:sz w:val="27"/>
      <w:szCs w:val="27"/>
    </w:rPr>
  </w:style>
  <w:style w:type="character" w:customStyle="1" w:styleId="37">
    <w:name w:val="标题 4 Char"/>
    <w:basedOn w:val="30"/>
    <w:link w:val="5"/>
    <w:qFormat/>
    <w:uiPriority w:val="0"/>
    <w:rPr>
      <w:rFonts w:ascii="宋体" w:hAnsi="宋体"/>
      <w:b/>
      <w:bCs/>
      <w:kern w:val="0"/>
      <w:sz w:val="24"/>
      <w:szCs w:val="28"/>
    </w:rPr>
  </w:style>
  <w:style w:type="character" w:customStyle="1" w:styleId="38">
    <w:name w:val="标题 5 Char"/>
    <w:basedOn w:val="30"/>
    <w:link w:val="6"/>
    <w:qFormat/>
    <w:uiPriority w:val="0"/>
    <w:rPr>
      <w:rFonts w:ascii="宋体" w:hAnsi="宋体"/>
      <w:b/>
      <w:bCs/>
      <w:sz w:val="24"/>
      <w:szCs w:val="28"/>
    </w:rPr>
  </w:style>
  <w:style w:type="character" w:customStyle="1" w:styleId="39">
    <w:name w:val="标题 6 Char"/>
    <w:basedOn w:val="30"/>
    <w:link w:val="7"/>
    <w:qFormat/>
    <w:uiPriority w:val="0"/>
    <w:rPr>
      <w:rFonts w:ascii="Arial" w:hAnsi="Arial" w:eastAsia="黑体"/>
      <w:b/>
      <w:bCs/>
      <w:sz w:val="24"/>
      <w:szCs w:val="24"/>
    </w:rPr>
  </w:style>
  <w:style w:type="character" w:customStyle="1" w:styleId="40">
    <w:name w:val="纯文本 Char"/>
    <w:basedOn w:val="30"/>
    <w:link w:val="14"/>
    <w:qFormat/>
    <w:locked/>
    <w:uiPriority w:val="99"/>
    <w:rPr>
      <w:rFonts w:ascii="宋体" w:hAnsi="Courier New" w:eastAsia="宋体" w:cs="Courier New"/>
      <w:sz w:val="21"/>
      <w:szCs w:val="21"/>
    </w:rPr>
  </w:style>
  <w:style w:type="character" w:customStyle="1" w:styleId="41">
    <w:name w:val="正文文本缩进 Char"/>
    <w:basedOn w:val="30"/>
    <w:link w:val="12"/>
    <w:qFormat/>
    <w:locked/>
    <w:uiPriority w:val="99"/>
    <w:rPr>
      <w:rFonts w:ascii="Times New Roman" w:hAnsi="Times New Roman" w:eastAsia="宋体" w:cs="Times New Roman"/>
      <w:sz w:val="24"/>
      <w:szCs w:val="24"/>
    </w:rPr>
  </w:style>
  <w:style w:type="paragraph" w:customStyle="1" w:styleId="42">
    <w:name w:val="Char"/>
    <w:next w:val="1"/>
    <w:qFormat/>
    <w:uiPriority w:val="99"/>
    <w:pPr>
      <w:keepNext/>
      <w:keepLines/>
      <w:spacing w:before="240" w:after="240"/>
      <w:outlineLvl w:val="7"/>
    </w:pPr>
    <w:rPr>
      <w:rFonts w:ascii="Times New Roman" w:hAnsi="Times New Roman" w:eastAsia="宋体" w:cs="Times New Roman"/>
      <w:lang w:val="en-US" w:eastAsia="zh-CN" w:bidi="ar-SA"/>
    </w:rPr>
  </w:style>
  <w:style w:type="character" w:customStyle="1" w:styleId="43">
    <w:name w:val="页眉 Char"/>
    <w:basedOn w:val="30"/>
    <w:link w:val="20"/>
    <w:qFormat/>
    <w:locked/>
    <w:uiPriority w:val="0"/>
    <w:rPr>
      <w:rFonts w:ascii="Calibri" w:hAnsi="Calibri" w:eastAsia="宋体" w:cs="Times New Roman"/>
      <w:kern w:val="0"/>
      <w:sz w:val="18"/>
      <w:szCs w:val="18"/>
    </w:rPr>
  </w:style>
  <w:style w:type="character" w:customStyle="1" w:styleId="44">
    <w:name w:val="页脚 Char"/>
    <w:basedOn w:val="30"/>
    <w:link w:val="19"/>
    <w:qFormat/>
    <w:locked/>
    <w:uiPriority w:val="99"/>
    <w:rPr>
      <w:rFonts w:ascii="Calibri" w:hAnsi="Calibri" w:eastAsia="宋体" w:cs="Times New Roman"/>
      <w:kern w:val="0"/>
      <w:sz w:val="18"/>
      <w:szCs w:val="18"/>
    </w:rPr>
  </w:style>
  <w:style w:type="paragraph" w:customStyle="1" w:styleId="45">
    <w:name w:val="p0"/>
    <w:basedOn w:val="1"/>
    <w:qFormat/>
    <w:uiPriority w:val="99"/>
    <w:pPr>
      <w:widowControl/>
      <w:spacing w:before="100" w:beforeAutospacing="1" w:after="100" w:afterAutospacing="1"/>
      <w:jc w:val="left"/>
    </w:pPr>
    <w:rPr>
      <w:rFonts w:ascii="宋体" w:hAnsi="宋体" w:cs="宋体"/>
      <w:kern w:val="0"/>
      <w:sz w:val="24"/>
    </w:rPr>
  </w:style>
  <w:style w:type="character" w:customStyle="1" w:styleId="46">
    <w:name w:val="日期 Char"/>
    <w:basedOn w:val="30"/>
    <w:link w:val="16"/>
    <w:qFormat/>
    <w:locked/>
    <w:uiPriority w:val="99"/>
    <w:rPr>
      <w:rFonts w:ascii="Times New Roman" w:hAnsi="Times New Roman" w:eastAsia="仿宋_GB2312" w:cs="Times New Roman"/>
      <w:color w:val="000000"/>
      <w:sz w:val="32"/>
      <w:szCs w:val="32"/>
    </w:rPr>
  </w:style>
  <w:style w:type="character" w:customStyle="1" w:styleId="47">
    <w:name w:val="批注框文本 Char"/>
    <w:basedOn w:val="30"/>
    <w:link w:val="18"/>
    <w:qFormat/>
    <w:locked/>
    <w:uiPriority w:val="0"/>
    <w:rPr>
      <w:rFonts w:ascii="Times New Roman" w:hAnsi="Times New Roman" w:eastAsia="宋体" w:cs="Times New Roman"/>
      <w:sz w:val="18"/>
      <w:szCs w:val="18"/>
    </w:rPr>
  </w:style>
  <w:style w:type="character" w:customStyle="1" w:styleId="48">
    <w:name w:val="Char Char5"/>
    <w:qFormat/>
    <w:uiPriority w:val="99"/>
    <w:rPr>
      <w:rFonts w:eastAsia="宋体"/>
      <w:kern w:val="2"/>
      <w:sz w:val="18"/>
      <w:lang w:val="en-US" w:eastAsia="zh-CN"/>
    </w:rPr>
  </w:style>
  <w:style w:type="character" w:customStyle="1" w:styleId="49">
    <w:name w:val="Char Char4"/>
    <w:qFormat/>
    <w:uiPriority w:val="99"/>
    <w:rPr>
      <w:rFonts w:eastAsia="宋体"/>
      <w:kern w:val="2"/>
      <w:sz w:val="18"/>
      <w:lang w:val="en-US" w:eastAsia="zh-CN"/>
    </w:rPr>
  </w:style>
  <w:style w:type="paragraph" w:customStyle="1" w:styleId="50">
    <w:name w:val="6 Char"/>
    <w:basedOn w:val="1"/>
    <w:qFormat/>
    <w:uiPriority w:val="0"/>
    <w:pPr>
      <w:widowControl/>
      <w:spacing w:beforeLines="100" w:after="160" w:line="240" w:lineRule="exact"/>
      <w:jc w:val="left"/>
    </w:pPr>
    <w:rPr>
      <w:rFonts w:ascii="Verdana" w:hAnsi="Verdana"/>
      <w:kern w:val="0"/>
      <w:sz w:val="20"/>
      <w:szCs w:val="20"/>
      <w:lang w:eastAsia="en-US"/>
    </w:rPr>
  </w:style>
  <w:style w:type="paragraph" w:customStyle="1" w:styleId="51">
    <w:name w:val="表标"/>
    <w:basedOn w:val="1"/>
    <w:qFormat/>
    <w:uiPriority w:val="0"/>
    <w:pPr>
      <w:spacing w:before="120" w:after="120" w:line="240" w:lineRule="atLeast"/>
      <w:jc w:val="center"/>
    </w:pPr>
    <w:rPr>
      <w:rFonts w:ascii="黑体" w:eastAsia="黑体"/>
      <w:szCs w:val="20"/>
    </w:rPr>
  </w:style>
  <w:style w:type="character" w:customStyle="1" w:styleId="52">
    <w:name w:val="正文文本 Char"/>
    <w:basedOn w:val="30"/>
    <w:link w:val="11"/>
    <w:qFormat/>
    <w:uiPriority w:val="0"/>
    <w:rPr>
      <w:rFonts w:ascii="Times New Roman" w:hAnsi="Times New Roman"/>
      <w:szCs w:val="24"/>
    </w:rPr>
  </w:style>
  <w:style w:type="character" w:customStyle="1" w:styleId="53">
    <w:name w:val="正文文本缩进 3 Char"/>
    <w:basedOn w:val="30"/>
    <w:link w:val="23"/>
    <w:qFormat/>
    <w:uiPriority w:val="0"/>
    <w:rPr>
      <w:rFonts w:ascii="Times New Roman" w:hAnsi="Times New Roman"/>
      <w:szCs w:val="24"/>
    </w:rPr>
  </w:style>
  <w:style w:type="paragraph" w:customStyle="1" w:styleId="54">
    <w:name w:val="样式3"/>
    <w:basedOn w:val="1"/>
    <w:qFormat/>
    <w:uiPriority w:val="0"/>
    <w:pPr>
      <w:spacing w:line="360" w:lineRule="exact"/>
      <w:jc w:val="center"/>
      <w:outlineLvl w:val="2"/>
    </w:pPr>
    <w:rPr>
      <w:rFonts w:eastAsia="黑体"/>
      <w:b/>
      <w:bCs/>
      <w:sz w:val="30"/>
    </w:rPr>
  </w:style>
  <w:style w:type="paragraph" w:customStyle="1" w:styleId="55">
    <w:name w:val="样式1"/>
    <w:basedOn w:val="27"/>
    <w:next w:val="27"/>
    <w:qFormat/>
    <w:uiPriority w:val="0"/>
    <w:pPr>
      <w:adjustRightInd w:val="0"/>
      <w:snapToGrid w:val="0"/>
      <w:spacing w:line="360" w:lineRule="exact"/>
    </w:pPr>
    <w:rPr>
      <w:rFonts w:ascii="黑体" w:hAnsi="宋体" w:eastAsia="黑体"/>
      <w:b w:val="0"/>
      <w:sz w:val="30"/>
      <w:szCs w:val="30"/>
    </w:rPr>
  </w:style>
  <w:style w:type="character" w:customStyle="1" w:styleId="56">
    <w:name w:val="标题 Char"/>
    <w:basedOn w:val="30"/>
    <w:link w:val="27"/>
    <w:qFormat/>
    <w:uiPriority w:val="0"/>
    <w:rPr>
      <w:rFonts w:ascii="Arial" w:hAnsi="Arial" w:cs="Arial"/>
      <w:b/>
      <w:bCs/>
      <w:sz w:val="32"/>
      <w:szCs w:val="32"/>
    </w:rPr>
  </w:style>
  <w:style w:type="paragraph" w:customStyle="1" w:styleId="57">
    <w:name w:val="样式2"/>
    <w:basedOn w:val="27"/>
    <w:next w:val="27"/>
    <w:qFormat/>
    <w:uiPriority w:val="0"/>
    <w:pPr>
      <w:adjustRightInd w:val="0"/>
      <w:snapToGrid w:val="0"/>
      <w:spacing w:line="360" w:lineRule="exact"/>
    </w:pPr>
    <w:rPr>
      <w:rFonts w:ascii="黑体" w:hAnsi="宋体" w:eastAsia="黑体"/>
      <w:b w:val="0"/>
      <w:sz w:val="30"/>
      <w:szCs w:val="30"/>
    </w:rPr>
  </w:style>
  <w:style w:type="paragraph" w:customStyle="1" w:styleId="58">
    <w:name w:val="样式4"/>
    <w:basedOn w:val="1"/>
    <w:next w:val="27"/>
    <w:link w:val="59"/>
    <w:qFormat/>
    <w:uiPriority w:val="0"/>
    <w:pPr>
      <w:adjustRightInd w:val="0"/>
      <w:snapToGrid w:val="0"/>
      <w:spacing w:line="360" w:lineRule="exact"/>
      <w:jc w:val="center"/>
    </w:pPr>
    <w:rPr>
      <w:rFonts w:ascii="黑体" w:hAnsi="宋体" w:eastAsia="黑体"/>
      <w:b/>
      <w:sz w:val="30"/>
      <w:szCs w:val="30"/>
    </w:rPr>
  </w:style>
  <w:style w:type="character" w:customStyle="1" w:styleId="59">
    <w:name w:val="样式4 Char"/>
    <w:link w:val="58"/>
    <w:qFormat/>
    <w:uiPriority w:val="0"/>
    <w:rPr>
      <w:rFonts w:ascii="黑体" w:hAnsi="宋体" w:eastAsia="黑体"/>
      <w:b/>
      <w:sz w:val="30"/>
      <w:szCs w:val="30"/>
    </w:rPr>
  </w:style>
  <w:style w:type="character" w:customStyle="1" w:styleId="60">
    <w:name w:val="正文文本缩进 2 Char"/>
    <w:basedOn w:val="30"/>
    <w:link w:val="17"/>
    <w:qFormat/>
    <w:uiPriority w:val="0"/>
    <w:rPr>
      <w:rFonts w:ascii="Times New Roman" w:hAnsi="Times New Roman"/>
      <w:szCs w:val="24"/>
    </w:rPr>
  </w:style>
  <w:style w:type="paragraph" w:customStyle="1" w:styleId="61">
    <w:name w:val="Char Char Char"/>
    <w:basedOn w:val="1"/>
    <w:qFormat/>
    <w:uiPriority w:val="0"/>
    <w:rPr>
      <w:rFonts w:ascii="Tahoma" w:hAnsi="Tahoma"/>
      <w:sz w:val="24"/>
      <w:szCs w:val="20"/>
    </w:rPr>
  </w:style>
  <w:style w:type="character" w:customStyle="1" w:styleId="62">
    <w:name w:val="批注文字 Char"/>
    <w:basedOn w:val="30"/>
    <w:link w:val="10"/>
    <w:semiHidden/>
    <w:qFormat/>
    <w:uiPriority w:val="0"/>
    <w:rPr>
      <w:rFonts w:ascii="Times New Roman" w:hAnsi="Times New Roman"/>
      <w:szCs w:val="24"/>
    </w:rPr>
  </w:style>
  <w:style w:type="character" w:customStyle="1" w:styleId="63">
    <w:name w:val="批注主题 Char"/>
    <w:basedOn w:val="62"/>
    <w:link w:val="28"/>
    <w:semiHidden/>
    <w:qFormat/>
    <w:uiPriority w:val="0"/>
    <w:rPr>
      <w:rFonts w:ascii="Times New Roman" w:hAnsi="Times New Roman"/>
      <w:b/>
      <w:bCs/>
      <w:szCs w:val="24"/>
    </w:rPr>
  </w:style>
  <w:style w:type="character" w:customStyle="1" w:styleId="64">
    <w:name w:val="HTML 预设格式 Char"/>
    <w:basedOn w:val="30"/>
    <w:link w:val="25"/>
    <w:qFormat/>
    <w:uiPriority w:val="0"/>
    <w:rPr>
      <w:rFonts w:ascii="黑体" w:hAnsi="Courier New" w:eastAsia="黑体" w:cs="Courier New"/>
      <w:color w:val="000000"/>
      <w:kern w:val="0"/>
      <w:sz w:val="20"/>
      <w:szCs w:val="20"/>
    </w:rPr>
  </w:style>
  <w:style w:type="character" w:customStyle="1" w:styleId="65">
    <w:name w:val="jk1"/>
    <w:qFormat/>
    <w:uiPriority w:val="0"/>
  </w:style>
  <w:style w:type="paragraph" w:customStyle="1" w:styleId="66">
    <w:name w:val="标题4"/>
    <w:basedOn w:val="1"/>
    <w:qFormat/>
    <w:uiPriority w:val="0"/>
    <w:pPr>
      <w:spacing w:line="360" w:lineRule="auto"/>
      <w:ind w:firstLine="200" w:firstLineChars="200"/>
    </w:pPr>
    <w:rPr>
      <w:rFonts w:ascii="Calibri" w:hAnsi="Calibri"/>
      <w:b/>
      <w:sz w:val="24"/>
      <w:szCs w:val="22"/>
    </w:rPr>
  </w:style>
  <w:style w:type="paragraph" w:customStyle="1" w:styleId="67">
    <w:name w:val="标题1"/>
    <w:basedOn w:val="1"/>
    <w:next w:val="2"/>
    <w:qFormat/>
    <w:uiPriority w:val="0"/>
    <w:pPr>
      <w:suppressAutoHyphens/>
      <w:spacing w:line="360" w:lineRule="auto"/>
      <w:ind w:firstLine="200" w:firstLineChars="200"/>
    </w:pPr>
    <w:rPr>
      <w:rFonts w:ascii="Calibri" w:hAnsi="Calibri"/>
      <w:b/>
      <w:kern w:val="1"/>
      <w:sz w:val="32"/>
      <w:szCs w:val="20"/>
      <w:lang w:eastAsia="hi-IN" w:bidi="hi-IN"/>
    </w:rPr>
  </w:style>
  <w:style w:type="character" w:customStyle="1" w:styleId="68">
    <w:name w:val="Heading 1 Char"/>
    <w:qFormat/>
    <w:locked/>
    <w:uiPriority w:val="0"/>
    <w:rPr>
      <w:rFonts w:ascii="Calibri" w:hAnsi="Calibri" w:eastAsia="宋体"/>
      <w:b/>
      <w:kern w:val="44"/>
      <w:sz w:val="36"/>
      <w:szCs w:val="22"/>
      <w:lang w:val="en-US" w:eastAsia="zh-CN" w:bidi="ar-SA"/>
    </w:rPr>
  </w:style>
  <w:style w:type="character" w:customStyle="1" w:styleId="69">
    <w:name w:val="文档结构图 Char"/>
    <w:basedOn w:val="30"/>
    <w:link w:val="9"/>
    <w:semiHidden/>
    <w:qFormat/>
    <w:uiPriority w:val="0"/>
    <w:rPr>
      <w:sz w:val="24"/>
      <w:shd w:val="clear" w:color="auto" w:fill="000080"/>
    </w:rPr>
  </w:style>
  <w:style w:type="paragraph" w:customStyle="1" w:styleId="70">
    <w:name w:val="列出段落1"/>
    <w:basedOn w:val="1"/>
    <w:qFormat/>
    <w:uiPriority w:val="0"/>
    <w:pPr>
      <w:ind w:firstLine="420" w:firstLineChars="200"/>
    </w:pPr>
    <w:rPr>
      <w:rFonts w:ascii="Calibri" w:hAnsi="Calibri"/>
      <w:szCs w:val="22"/>
    </w:rPr>
  </w:style>
  <w:style w:type="paragraph" w:customStyle="1" w:styleId="71">
    <w:name w:val="正文-西藏"/>
    <w:basedOn w:val="1"/>
    <w:qFormat/>
    <w:uiPriority w:val="0"/>
    <w:pPr>
      <w:spacing w:line="360" w:lineRule="auto"/>
      <w:ind w:firstLine="480" w:firstLineChars="200"/>
    </w:pPr>
    <w:rPr>
      <w:rFonts w:ascii="Calibri" w:hAnsi="Calibri" w:eastAsia="华文中宋"/>
      <w:sz w:val="24"/>
    </w:rPr>
  </w:style>
  <w:style w:type="paragraph" w:customStyle="1" w:styleId="72">
    <w:name w:val="标题2-西藏"/>
    <w:basedOn w:val="71"/>
    <w:link w:val="73"/>
    <w:qFormat/>
    <w:uiPriority w:val="0"/>
    <w:pPr>
      <w:outlineLvl w:val="1"/>
    </w:pPr>
    <w:rPr>
      <w:sz w:val="32"/>
      <w:szCs w:val="32"/>
      <w:lang w:val="zh-CN"/>
    </w:rPr>
  </w:style>
  <w:style w:type="character" w:customStyle="1" w:styleId="73">
    <w:name w:val="标题2-西藏 Char"/>
    <w:link w:val="72"/>
    <w:qFormat/>
    <w:uiPriority w:val="0"/>
    <w:rPr>
      <w:rFonts w:eastAsia="华文中宋"/>
      <w:sz w:val="32"/>
      <w:szCs w:val="32"/>
      <w:lang w:val="zh-CN" w:eastAsia="zh-CN"/>
    </w:rPr>
  </w:style>
  <w:style w:type="paragraph" w:customStyle="1" w:styleId="74">
    <w:name w:val="标题3-西藏"/>
    <w:basedOn w:val="71"/>
    <w:link w:val="75"/>
    <w:qFormat/>
    <w:uiPriority w:val="0"/>
    <w:pPr>
      <w:outlineLvl w:val="2"/>
    </w:pPr>
    <w:rPr>
      <w:sz w:val="30"/>
      <w:szCs w:val="30"/>
    </w:rPr>
  </w:style>
  <w:style w:type="character" w:customStyle="1" w:styleId="75">
    <w:name w:val="标题3-西藏 Char"/>
    <w:link w:val="74"/>
    <w:qFormat/>
    <w:locked/>
    <w:uiPriority w:val="0"/>
    <w:rPr>
      <w:rFonts w:eastAsia="华文中宋"/>
      <w:sz w:val="30"/>
      <w:szCs w:val="30"/>
    </w:rPr>
  </w:style>
  <w:style w:type="paragraph" w:customStyle="1" w:styleId="76">
    <w:name w:val="标题4-西藏"/>
    <w:basedOn w:val="71"/>
    <w:qFormat/>
    <w:uiPriority w:val="0"/>
    <w:pPr>
      <w:jc w:val="left"/>
      <w:outlineLvl w:val="3"/>
    </w:pPr>
    <w:rPr>
      <w:sz w:val="28"/>
      <w:szCs w:val="30"/>
    </w:rPr>
  </w:style>
  <w:style w:type="character" w:customStyle="1" w:styleId="77">
    <w:name w:val="Header Char"/>
    <w:qFormat/>
    <w:locked/>
    <w:uiPriority w:val="0"/>
    <w:rPr>
      <w:rFonts w:ascii="Calibri" w:hAnsi="Calibri" w:eastAsia="宋体"/>
      <w:kern w:val="2"/>
      <w:sz w:val="18"/>
      <w:szCs w:val="18"/>
      <w:lang w:val="en-US" w:eastAsia="zh-CN" w:bidi="ar-SA"/>
    </w:rPr>
  </w:style>
  <w:style w:type="character" w:customStyle="1" w:styleId="78">
    <w:name w:val="Footer Char"/>
    <w:qFormat/>
    <w:locked/>
    <w:uiPriority w:val="0"/>
    <w:rPr>
      <w:rFonts w:ascii="Calibri" w:hAnsi="Calibri" w:eastAsia="宋体"/>
      <w:kern w:val="2"/>
      <w:sz w:val="18"/>
      <w:szCs w:val="18"/>
      <w:lang w:val="en-US" w:eastAsia="zh-CN" w:bidi="ar-SA"/>
    </w:rPr>
  </w:style>
  <w:style w:type="paragraph" w:customStyle="1" w:styleId="79">
    <w:name w:val="列出段落111"/>
    <w:basedOn w:val="1"/>
    <w:qFormat/>
    <w:uiPriority w:val="0"/>
    <w:pPr>
      <w:ind w:firstLine="420" w:firstLineChars="200"/>
    </w:pPr>
    <w:rPr>
      <w:rFonts w:ascii="Calibri" w:hAnsi="Calibri"/>
      <w:szCs w:val="22"/>
    </w:rPr>
  </w:style>
  <w:style w:type="paragraph" w:customStyle="1" w:styleId="80">
    <w:name w:val="论文正文图或表格标注"/>
    <w:basedOn w:val="1"/>
    <w:next w:val="1"/>
    <w:qFormat/>
    <w:uiPriority w:val="0"/>
    <w:pPr>
      <w:spacing w:line="300" w:lineRule="auto"/>
    </w:pPr>
  </w:style>
  <w:style w:type="paragraph" w:customStyle="1" w:styleId="81">
    <w:name w:val="论文正文"/>
    <w:basedOn w:val="1"/>
    <w:next w:val="1"/>
    <w:qFormat/>
    <w:uiPriority w:val="0"/>
    <w:pPr>
      <w:spacing w:line="300" w:lineRule="auto"/>
      <w:ind w:firstLine="200" w:firstLineChars="200"/>
    </w:pPr>
    <w:rPr>
      <w:sz w:val="24"/>
    </w:rPr>
  </w:style>
  <w:style w:type="paragraph" w:customStyle="1" w:styleId="82">
    <w:name w:val="样式35"/>
    <w:basedOn w:val="2"/>
    <w:qFormat/>
    <w:uiPriority w:val="0"/>
    <w:pPr>
      <w:keepLines/>
      <w:pageBreakBefore/>
      <w:tabs>
        <w:tab w:val="left" w:pos="360"/>
      </w:tabs>
      <w:adjustRightInd/>
      <w:snapToGrid/>
      <w:spacing w:before="340" w:after="330" w:line="360" w:lineRule="auto"/>
      <w:ind w:left="360" w:hanging="360"/>
      <w:jc w:val="both"/>
    </w:pPr>
    <w:rPr>
      <w:rFonts w:ascii="微软雅黑" w:hAnsi="微软雅黑" w:eastAsia="宋体"/>
      <w:b w:val="0"/>
      <w:bCs/>
      <w:kern w:val="44"/>
      <w:sz w:val="30"/>
    </w:rPr>
  </w:style>
  <w:style w:type="paragraph" w:customStyle="1" w:styleId="83">
    <w:name w:val="样式25"/>
    <w:basedOn w:val="4"/>
    <w:next w:val="1"/>
    <w:qFormat/>
    <w:uiPriority w:val="0"/>
    <w:pPr>
      <w:keepNext/>
      <w:keepLines/>
      <w:widowControl w:val="0"/>
      <w:tabs>
        <w:tab w:val="left" w:pos="1260"/>
      </w:tabs>
      <w:spacing w:before="260" w:beforeAutospacing="0" w:after="260" w:afterAutospacing="0" w:line="360" w:lineRule="auto"/>
      <w:ind w:left="1680" w:hanging="420"/>
    </w:pPr>
    <w:rPr>
      <w:rFonts w:ascii="微软雅黑" w:hAnsi="微软雅黑" w:cs="Times New Roman"/>
      <w:b w:val="0"/>
      <w:kern w:val="2"/>
      <w:sz w:val="24"/>
      <w:szCs w:val="24"/>
    </w:rPr>
  </w:style>
  <w:style w:type="paragraph" w:customStyle="1" w:styleId="84">
    <w:name w:val="TOC 标题1"/>
    <w:basedOn w:val="2"/>
    <w:next w:val="1"/>
    <w:qFormat/>
    <w:uiPriority w:val="0"/>
    <w:pPr>
      <w:keepLines/>
      <w:widowControl/>
      <w:adjustRightInd/>
      <w:snapToGrid/>
      <w:spacing w:before="480" w:line="276" w:lineRule="auto"/>
      <w:ind w:left="431"/>
      <w:jc w:val="left"/>
      <w:outlineLvl w:val="9"/>
    </w:pPr>
    <w:rPr>
      <w:rFonts w:ascii="Cambria" w:hAnsi="Cambria" w:eastAsia="宋体"/>
      <w:bCs/>
      <w:color w:val="365F91"/>
      <w:kern w:val="0"/>
      <w:szCs w:val="28"/>
    </w:rPr>
  </w:style>
  <w:style w:type="paragraph" w:customStyle="1" w:styleId="85">
    <w:name w:val="列出段落11"/>
    <w:basedOn w:val="1"/>
    <w:qFormat/>
    <w:uiPriority w:val="0"/>
    <w:pPr>
      <w:ind w:firstLine="420" w:firstLineChars="200"/>
    </w:pPr>
    <w:rPr>
      <w:rFonts w:ascii="Calibri" w:hAnsi="Calibri" w:cs="黑体"/>
      <w:szCs w:val="22"/>
    </w:rPr>
  </w:style>
  <w:style w:type="character" w:customStyle="1" w:styleId="86">
    <w:name w:val="Heading 2 Char"/>
    <w:qFormat/>
    <w:locked/>
    <w:uiPriority w:val="0"/>
    <w:rPr>
      <w:rFonts w:ascii="Arial" w:hAnsi="Arial" w:eastAsia="宋体" w:cs="Arial"/>
      <w:b/>
      <w:sz w:val="28"/>
      <w:lang w:val="en-US" w:eastAsia="hi-IN" w:bidi="hi-IN"/>
    </w:rPr>
  </w:style>
  <w:style w:type="character" w:customStyle="1" w:styleId="87">
    <w:name w:val="apple-converted-space"/>
    <w:qFormat/>
    <w:uiPriority w:val="0"/>
    <w:rPr>
      <w:rFonts w:cs="Times New Roman"/>
    </w:rPr>
  </w:style>
  <w:style w:type="character" w:customStyle="1" w:styleId="88">
    <w:name w:val="blk141"/>
    <w:qFormat/>
    <w:uiPriority w:val="0"/>
    <w:rPr>
      <w:rFonts w:hint="default"/>
      <w:color w:val="000000"/>
      <w:sz w:val="22"/>
      <w:szCs w:val="22"/>
      <w:u w:val="none"/>
    </w:rPr>
  </w:style>
  <w:style w:type="paragraph" w:customStyle="1" w:styleId="89">
    <w:name w:val="5内文"/>
    <w:link w:val="90"/>
    <w:qFormat/>
    <w:uiPriority w:val="99"/>
    <w:pPr>
      <w:spacing w:line="400" w:lineRule="exact"/>
      <w:ind w:firstLine="200" w:firstLineChars="200"/>
      <w:jc w:val="both"/>
    </w:pPr>
    <w:rPr>
      <w:rFonts w:ascii="宋体" w:hAnsi="宋体" w:eastAsia="宋体" w:cs="宋体"/>
      <w:color w:val="231F20"/>
      <w:sz w:val="21"/>
      <w:szCs w:val="21"/>
      <w:lang w:val="en-US" w:eastAsia="zh-CN" w:bidi="ar-SA"/>
    </w:rPr>
  </w:style>
  <w:style w:type="character" w:customStyle="1" w:styleId="90">
    <w:name w:val="5内文 Char"/>
    <w:link w:val="89"/>
    <w:qFormat/>
    <w:locked/>
    <w:uiPriority w:val="99"/>
    <w:rPr>
      <w:rFonts w:ascii="宋体" w:hAnsi="宋体" w:cs="宋体"/>
      <w:color w:val="231F20"/>
      <w:sz w:val="21"/>
      <w:szCs w:val="21"/>
    </w:rPr>
  </w:style>
  <w:style w:type="paragraph" w:customStyle="1" w:styleId="91">
    <w:name w:val="TOC Heading"/>
    <w:basedOn w:val="2"/>
    <w:next w:val="1"/>
    <w:unhideWhenUsed/>
    <w:qFormat/>
    <w:uiPriority w:val="39"/>
    <w:pPr>
      <w:keepLines/>
      <w:widowControl/>
      <w:adjustRightInd/>
      <w:snapToGrid/>
      <w:spacing w:before="480" w:line="276" w:lineRule="auto"/>
      <w:jc w:val="left"/>
      <w:outlineLvl w:val="9"/>
    </w:pPr>
    <w:rPr>
      <w:rFonts w:asciiTheme="majorHAnsi" w:hAnsiTheme="majorHAnsi" w:eastAsiaTheme="majorEastAsia" w:cstheme="majorBidi"/>
      <w:bCs/>
      <w:color w:val="376092" w:themeColor="accent1" w:themeShade="BF"/>
      <w:kern w:val="0"/>
      <w:szCs w:val="28"/>
    </w:rPr>
  </w:style>
  <w:style w:type="paragraph" w:customStyle="1" w:styleId="92">
    <w:name w:val="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image" Target="media/image2.tiff"/><Relationship Id="rId5" Type="http://schemas.openxmlformats.org/officeDocument/2006/relationships/image" Target="media/image1.tif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C58EBF-98BB-4053-BDFD-DEAFF22147D3}">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16</Pages>
  <Words>2341</Words>
  <Characters>13347</Characters>
  <Lines>111</Lines>
  <Paragraphs>31</Paragraphs>
  <TotalTime>18</TotalTime>
  <ScaleCrop>false</ScaleCrop>
  <LinksUpToDate>false</LinksUpToDate>
  <CharactersWithSpaces>15657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2019-12-18T03:15:00Z</dcterms:created>
  <dc:creator>Lee</dc:creator>
  <cp:lastModifiedBy>高婷婷</cp:lastModifiedBy>
  <cp:lastPrinted>2019-12-20T07:23:00Z</cp:lastPrinted>
  <dcterms:modified xsi:type="dcterms:W3CDTF">2019-12-23T01:58:01Z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